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581" w14:textId="772A81CF" w:rsidR="0082470D" w:rsidRDefault="00463F63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7E056E" wp14:editId="30FD597E">
                <wp:simplePos x="0" y="0"/>
                <wp:positionH relativeFrom="column">
                  <wp:posOffset>3372485</wp:posOffset>
                </wp:positionH>
                <wp:positionV relativeFrom="margin">
                  <wp:posOffset>-255259</wp:posOffset>
                </wp:positionV>
                <wp:extent cx="3797300" cy="1461135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2421" w14:textId="320F5761" w:rsidR="007D1701" w:rsidRPr="00A14C79" w:rsidRDefault="003D52A8" w:rsidP="001149B1">
                            <w:pPr>
                              <w:pStyle w:val="NewsletterHeading"/>
                            </w:pPr>
                            <w:sdt>
                              <w:sdtPr>
                                <w:id w:val="228783080"/>
                                <w:placeholder>
                                  <w:docPart w:val="C1FC5741C0E3416B99B30C208C4C4E76"/>
                                </w:placeholder>
                              </w:sdtPr>
                              <w:sdtEndPr/>
                              <w:sdtContent>
                                <w:r w:rsidR="006D345F" w:rsidRPr="006D345F">
                                  <w:rPr>
                                    <w:sz w:val="48"/>
                                    <w:szCs w:val="18"/>
                                  </w:rPr>
                                  <w:t xml:space="preserve">Issue Brief: </w:t>
                                </w:r>
                                <w:r w:rsidR="00593AFD">
                                  <w:rPr>
                                    <w:sz w:val="48"/>
                                    <w:szCs w:val="18"/>
                                  </w:rPr>
                                  <w:t>MUNICIPAL TOOLS FOR FARMLAND PRESERVATION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E05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5.55pt;margin-top:-20.1pt;width:299pt;height:11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" filled="f" stroked="f">
                <v:textbox inset=",7.2pt,,7.2pt">
                  <w:txbxContent>
                    <w:p w14:paraId="029E2421" w14:textId="320F5761" w:rsidR="007D1701" w:rsidRPr="00A14C79" w:rsidRDefault="003D4852" w:rsidP="001149B1">
                      <w:pPr>
                        <w:pStyle w:val="NewsletterHeading"/>
                      </w:pPr>
                      <w:sdt>
                        <w:sdtPr>
                          <w:id w:val="228783080"/>
                          <w:placeholder>
                            <w:docPart w:val="C1FC5741C0E3416B99B30C208C4C4E76"/>
                          </w:placeholder>
                        </w:sdtPr>
                        <w:sdtEndPr/>
                        <w:sdtContent>
                          <w:r w:rsidR="006D345F" w:rsidRPr="006D345F">
                            <w:rPr>
                              <w:sz w:val="48"/>
                              <w:szCs w:val="18"/>
                            </w:rPr>
                            <w:t xml:space="preserve">Issue Brief: </w:t>
                          </w:r>
                          <w:r w:rsidR="00593AFD">
                            <w:rPr>
                              <w:sz w:val="48"/>
                              <w:szCs w:val="18"/>
                            </w:rPr>
                            <w:t>MUNICIPAL TOOLS FOR FARMLAND PRESERVATION</w:t>
                          </w:r>
                        </w:sdtContent>
                      </w:sdt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72D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FB244" wp14:editId="3994DD02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595880"/>
                <wp:effectExtent l="3810" t="2540" r="0" b="190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595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9FC1D" w14:textId="595076B9" w:rsidR="0000112E" w:rsidRDefault="00F64396" w:rsidP="001149B1">
                            <w:pPr>
                              <w:pStyle w:val="Heading2"/>
                            </w:pPr>
                            <w:r w:rsidRPr="00F64396">
                              <w:rPr>
                                <w:noProof/>
                              </w:rPr>
                              <w:drawing>
                                <wp:inline distT="0" distB="0" distL="0" distR="0" wp14:anchorId="71F0BCDB" wp14:editId="54427E38">
                                  <wp:extent cx="3907490" cy="1919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993" cy="192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B244" id="Rectangle 6" o:spid="_x0000_s1027" style="position:absolute;margin-left:-13.95pt;margin-top:-8.8pt;width:630pt;height:20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" fillcolor="#205867 [1608]" stroked="f" strokecolor="#4a7ebb" strokeweight="1.5pt">
                <v:shadow opacity="22938f" offset="0"/>
                <v:textbox inset=",7.2pt,,7.2pt">
                  <w:txbxContent>
                    <w:p w14:paraId="23C9FC1D" w14:textId="595076B9" w:rsidR="0000112E" w:rsidRDefault="00F64396" w:rsidP="001149B1">
                      <w:pPr>
                        <w:pStyle w:val="Heading2"/>
                      </w:pPr>
                      <w:r w:rsidRPr="00F64396">
                        <w:drawing>
                          <wp:inline distT="0" distB="0" distL="0" distR="0" wp14:anchorId="71F0BCDB" wp14:editId="54427E38">
                            <wp:extent cx="3907490" cy="1919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993" cy="192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02A7AF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44E794AE" w14:textId="690A40C1" w:rsidR="0082470D" w:rsidRDefault="0082470D" w:rsidP="0082470D">
      <w:pPr>
        <w:rPr>
          <w:rFonts w:ascii="Arial" w:hAnsi="Arial"/>
          <w:b/>
          <w:sz w:val="36"/>
        </w:rPr>
      </w:pPr>
    </w:p>
    <w:p w14:paraId="033FA238" w14:textId="55CF8A6A" w:rsidR="0082470D" w:rsidRDefault="0082470D" w:rsidP="0082470D">
      <w:pPr>
        <w:rPr>
          <w:rFonts w:ascii="Arial" w:hAnsi="Arial"/>
          <w:b/>
          <w:sz w:val="36"/>
        </w:rPr>
      </w:pPr>
    </w:p>
    <w:p w14:paraId="3B3EEB00" w14:textId="15FDF2BB" w:rsidR="0082470D" w:rsidRDefault="00593AFD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317AB" wp14:editId="35223274">
                <wp:simplePos x="0" y="0"/>
                <wp:positionH relativeFrom="column">
                  <wp:posOffset>3370861</wp:posOffset>
                </wp:positionH>
                <wp:positionV relativeFrom="paragraph">
                  <wp:posOffset>145696</wp:posOffset>
                </wp:positionV>
                <wp:extent cx="3657600" cy="389890"/>
                <wp:effectExtent l="0" t="0" r="0" b="0"/>
                <wp:wrapTight wrapText="bothSides">
                  <wp:wrapPolygon edited="0">
                    <wp:start x="375" y="3518"/>
                    <wp:lineTo x="375" y="17590"/>
                    <wp:lineTo x="21150" y="17590"/>
                    <wp:lineTo x="21150" y="3518"/>
                    <wp:lineTo x="375" y="3518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</w:rPr>
                              <w:id w:val="228783089"/>
                              <w:placeholder>
                                <w:docPart w:val="C1FC5741C0E3416B99B30C208C4C4E76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</w:rPr>
                            </w:sdtEndPr>
                            <w:sdtContent>
                              <w:p w14:paraId="36EF7C7F" w14:textId="06B53B49" w:rsidR="0000112E" w:rsidRPr="00593AFD" w:rsidRDefault="006D345F" w:rsidP="00821526">
                                <w:pPr>
                                  <w:pStyle w:val="NewsletterSubhead"/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593AFD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 xml:space="preserve">MarCo </w:t>
                                </w:r>
                                <w:r w:rsidR="003D52A8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>Issue Brief</w:t>
                                </w:r>
                                <w:r w:rsidR="00D8780F" w:rsidRPr="00593AFD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 xml:space="preserve"> </w:t>
                                </w:r>
                                <w:r w:rsidR="00D1453D" w:rsidRPr="00593AFD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>-</w:t>
                                </w:r>
                                <w:r w:rsidR="00D8780F" w:rsidRPr="00593AFD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 xml:space="preserve"> </w:t>
                                </w:r>
                                <w:r w:rsidR="003D52A8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>September</w:t>
                                </w:r>
                                <w:r w:rsidRPr="00593AFD"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  <w:t xml:space="preserve"> 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17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65.4pt;margin-top:11.45pt;width:4in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" filled="f" stroked="f">
                <v:textbox inset=",7.2pt,,7.2pt"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auto"/>
                          <w:sz w:val="24"/>
                        </w:rPr>
                        <w:id w:val="228783089"/>
                        <w:placeholder>
                          <w:docPart w:val="C1FC5741C0E3416B99B30C208C4C4E76"/>
                        </w:placeholder>
                      </w:sdtPr>
                      <w:sdtEndPr>
                        <w:rPr>
                          <w:color w:val="FFFFFF" w:themeColor="background1"/>
                        </w:rPr>
                      </w:sdtEndPr>
                      <w:sdtContent>
                        <w:p w14:paraId="36EF7C7F" w14:textId="06B53B49" w:rsidR="0000112E" w:rsidRPr="00593AFD" w:rsidRDefault="006D345F" w:rsidP="00821526">
                          <w:pPr>
                            <w:pStyle w:val="NewsletterSubhead"/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593AFD">
                            <w:rPr>
                              <w:rFonts w:asciiTheme="majorHAnsi" w:hAnsiTheme="majorHAnsi" w:cstheme="majorHAnsi"/>
                              <w:sz w:val="24"/>
                            </w:rPr>
                            <w:t xml:space="preserve">MarCo </w:t>
                          </w:r>
                          <w:r w:rsidR="003D52A8">
                            <w:rPr>
                              <w:rFonts w:asciiTheme="majorHAnsi" w:hAnsiTheme="majorHAnsi" w:cstheme="majorHAnsi"/>
                              <w:sz w:val="24"/>
                            </w:rPr>
                            <w:t>Issue Brief</w:t>
                          </w:r>
                          <w:r w:rsidR="00D8780F" w:rsidRPr="00593AFD">
                            <w:rPr>
                              <w:rFonts w:asciiTheme="majorHAnsi" w:hAnsiTheme="majorHAnsi" w:cstheme="majorHAnsi"/>
                              <w:sz w:val="24"/>
                            </w:rPr>
                            <w:t xml:space="preserve"> </w:t>
                          </w:r>
                          <w:r w:rsidR="00D1453D" w:rsidRPr="00593AFD">
                            <w:rPr>
                              <w:rFonts w:asciiTheme="majorHAnsi" w:hAnsiTheme="majorHAnsi" w:cstheme="majorHAnsi"/>
                              <w:sz w:val="24"/>
                            </w:rPr>
                            <w:t>-</w:t>
                          </w:r>
                          <w:r w:rsidR="00D8780F" w:rsidRPr="00593AFD">
                            <w:rPr>
                              <w:rFonts w:asciiTheme="majorHAnsi" w:hAnsiTheme="majorHAnsi" w:cstheme="majorHAnsi"/>
                              <w:sz w:val="24"/>
                            </w:rPr>
                            <w:t xml:space="preserve"> </w:t>
                          </w:r>
                          <w:r w:rsidR="003D52A8">
                            <w:rPr>
                              <w:rFonts w:asciiTheme="majorHAnsi" w:hAnsiTheme="majorHAnsi" w:cstheme="majorHAnsi"/>
                              <w:sz w:val="24"/>
                            </w:rPr>
                            <w:t>September</w:t>
                          </w:r>
                          <w:r w:rsidRPr="00593AFD">
                            <w:rPr>
                              <w:rFonts w:asciiTheme="majorHAnsi" w:hAnsiTheme="majorHAnsi" w:cstheme="majorHAnsi"/>
                              <w:sz w:val="24"/>
                            </w:rPr>
                            <w:t xml:space="preserve"> 2021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E72D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E0420" wp14:editId="0A13E73F">
                <wp:simplePos x="0" y="0"/>
                <wp:positionH relativeFrom="page">
                  <wp:posOffset>-177165</wp:posOffset>
                </wp:positionH>
                <wp:positionV relativeFrom="page">
                  <wp:posOffset>2328545</wp:posOffset>
                </wp:positionV>
                <wp:extent cx="8001000" cy="173990"/>
                <wp:effectExtent l="3810" t="4445" r="0" b="2540"/>
                <wp:wrapTight wrapText="bothSides">
                  <wp:wrapPolygon edited="0">
                    <wp:start x="-27" y="-631"/>
                    <wp:lineTo x="-27" y="20969"/>
                    <wp:lineTo x="21627" y="20969"/>
                    <wp:lineTo x="21627" y="-631"/>
                    <wp:lineTo x="-27" y="-631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01A8" id="Rectangle 7" o:spid="_x0000_s1026" style="position:absolute;margin-left:-13.95pt;margin-top:183.3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14:paraId="77CA42BB" w14:textId="34ED960C" w:rsidR="0082470D" w:rsidRDefault="003D52A8" w:rsidP="007D1701">
      <w:pPr>
        <w:pStyle w:val="NewsletterHeadline"/>
      </w:pPr>
      <w:sdt>
        <w:sdtPr>
          <w:id w:val="228783093"/>
          <w:placeholder>
            <w:docPart w:val="C1FC5741C0E3416B99B30C208C4C4E76"/>
          </w:placeholder>
        </w:sdtPr>
        <w:sdtEndPr/>
        <w:sdtContent>
          <w:r w:rsidR="00E72DBC">
            <w:t>Introduction</w:t>
          </w:r>
        </w:sdtContent>
      </w:sdt>
    </w:p>
    <w:p w14:paraId="19A22879" w14:textId="3B843747" w:rsidR="00593AFD" w:rsidRDefault="00593AFD" w:rsidP="007D1701">
      <w:pPr>
        <w:pStyle w:val="NewsletterHeadline"/>
        <w:rPr>
          <w:color w:val="244061" w:themeColor="accent1" w:themeShade="80"/>
          <w:sz w:val="24"/>
        </w:rPr>
      </w:pPr>
      <w:r w:rsidRPr="00593AFD">
        <w:rPr>
          <w:color w:val="244061" w:themeColor="accent1" w:themeShade="80"/>
          <w:sz w:val="24"/>
        </w:rPr>
        <w:t xml:space="preserve">Farmland </w:t>
      </w:r>
      <w:r>
        <w:rPr>
          <w:color w:val="244061" w:themeColor="accent1" w:themeShade="80"/>
          <w:sz w:val="24"/>
        </w:rPr>
        <w:t>P</w:t>
      </w:r>
      <w:r w:rsidRPr="00593AFD">
        <w:rPr>
          <w:color w:val="244061" w:themeColor="accent1" w:themeShade="80"/>
          <w:sz w:val="24"/>
        </w:rPr>
        <w:t>reservation</w:t>
      </w:r>
    </w:p>
    <w:p w14:paraId="2ABBFAA0" w14:textId="77777777" w:rsidR="00760E4B" w:rsidRDefault="00760E4B" w:rsidP="003E564B">
      <w:pPr>
        <w:pStyle w:val="NewsletterBody"/>
        <w:sectPr w:rsidR="00760E4B" w:rsidSect="00760E4B">
          <w:footerReference w:type="even" r:id="rId13"/>
          <w:footerReference w:type="default" r:id="rId14"/>
          <w:pgSz w:w="12240" w:h="15840"/>
          <w:pgMar w:top="1440" w:right="630" w:bottom="1440" w:left="720" w:header="720" w:footer="720" w:gutter="0"/>
          <w:cols w:space="720"/>
        </w:sectPr>
      </w:pPr>
    </w:p>
    <w:p w14:paraId="743EA50B" w14:textId="77777777" w:rsidR="00593AFD" w:rsidRPr="00593AFD" w:rsidRDefault="00593AFD" w:rsidP="00593AFD"/>
    <w:p w14:paraId="663B040E" w14:textId="20EB4A1F" w:rsidR="006F0930" w:rsidRDefault="006F0930" w:rsidP="005B3701">
      <w:pPr>
        <w:jc w:val="both"/>
        <w:rPr>
          <w:rFonts w:asciiTheme="majorHAnsi" w:hAnsiTheme="majorHAnsi" w:cstheme="majorHAnsi"/>
          <w:sz w:val="22"/>
          <w:szCs w:val="22"/>
        </w:rPr>
      </w:pPr>
      <w:r w:rsidRPr="00326650">
        <w:rPr>
          <w:rFonts w:asciiTheme="majorHAnsi" w:hAnsiTheme="majorHAnsi" w:cstheme="majorHAnsi"/>
          <w:sz w:val="22"/>
          <w:szCs w:val="22"/>
        </w:rPr>
        <w:t>Municipalities</w:t>
      </w:r>
      <w:r w:rsidR="00DF45D3" w:rsidRPr="00326650">
        <w:rPr>
          <w:rFonts w:asciiTheme="majorHAnsi" w:hAnsiTheme="majorHAnsi" w:cstheme="majorHAnsi"/>
          <w:sz w:val="22"/>
          <w:szCs w:val="22"/>
        </w:rPr>
        <w:t xml:space="preserve"> (cities/towns) and counties in Arizona have certain </w:t>
      </w:r>
      <w:r w:rsidR="00F45DF5" w:rsidRPr="00326650">
        <w:rPr>
          <w:rFonts w:asciiTheme="majorHAnsi" w:hAnsiTheme="majorHAnsi" w:cstheme="majorHAnsi"/>
          <w:sz w:val="22"/>
          <w:szCs w:val="22"/>
        </w:rPr>
        <w:t>powers granted by the legislature</w:t>
      </w:r>
      <w:r w:rsidR="00E44AD9" w:rsidRPr="00326650">
        <w:rPr>
          <w:rFonts w:asciiTheme="majorHAnsi" w:hAnsiTheme="majorHAnsi" w:cstheme="majorHAnsi"/>
          <w:sz w:val="22"/>
          <w:szCs w:val="22"/>
        </w:rPr>
        <w:t xml:space="preserve"> </w:t>
      </w:r>
      <w:r w:rsidR="00C94F38" w:rsidRPr="00326650">
        <w:rPr>
          <w:rFonts w:asciiTheme="majorHAnsi" w:hAnsiTheme="majorHAnsi" w:cstheme="majorHAnsi"/>
          <w:sz w:val="22"/>
          <w:szCs w:val="22"/>
        </w:rPr>
        <w:t>for a specific purpose</w:t>
      </w:r>
      <w:r w:rsidR="00D76FFA" w:rsidRPr="00326650">
        <w:rPr>
          <w:rFonts w:asciiTheme="majorHAnsi" w:hAnsiTheme="majorHAnsi" w:cstheme="majorHAnsi"/>
          <w:sz w:val="22"/>
          <w:szCs w:val="22"/>
        </w:rPr>
        <w:t xml:space="preserve"> </w:t>
      </w:r>
      <w:r w:rsidR="00E44AD9" w:rsidRPr="00326650">
        <w:rPr>
          <w:rFonts w:asciiTheme="majorHAnsi" w:hAnsiTheme="majorHAnsi" w:cstheme="majorHAnsi"/>
          <w:sz w:val="22"/>
          <w:szCs w:val="22"/>
        </w:rPr>
        <w:t xml:space="preserve">that </w:t>
      </w:r>
      <w:r w:rsidR="00D76FFA" w:rsidRPr="00326650">
        <w:rPr>
          <w:rFonts w:asciiTheme="majorHAnsi" w:hAnsiTheme="majorHAnsi" w:cstheme="majorHAnsi"/>
          <w:sz w:val="22"/>
          <w:szCs w:val="22"/>
        </w:rPr>
        <w:t>may or may not</w:t>
      </w:r>
      <w:r w:rsidR="00A11B4E" w:rsidRPr="00326650">
        <w:rPr>
          <w:rFonts w:asciiTheme="majorHAnsi" w:hAnsiTheme="majorHAnsi" w:cstheme="majorHAnsi"/>
          <w:sz w:val="22"/>
          <w:szCs w:val="22"/>
        </w:rPr>
        <w:t xml:space="preserve"> have the intent for farmland preservation</w:t>
      </w:r>
      <w:r w:rsidR="003E4511" w:rsidRPr="00326650">
        <w:rPr>
          <w:rFonts w:asciiTheme="majorHAnsi" w:hAnsiTheme="majorHAnsi" w:cstheme="majorHAnsi"/>
          <w:sz w:val="22"/>
          <w:szCs w:val="22"/>
        </w:rPr>
        <w:t xml:space="preserve">. </w:t>
      </w:r>
      <w:r w:rsidR="004252CC" w:rsidRPr="00326650">
        <w:rPr>
          <w:rFonts w:asciiTheme="majorHAnsi" w:hAnsiTheme="majorHAnsi" w:cstheme="majorHAnsi"/>
          <w:sz w:val="22"/>
          <w:szCs w:val="22"/>
        </w:rPr>
        <w:t>The following discussion provides a brief overview of those powers</w:t>
      </w:r>
      <w:r w:rsidR="00326650" w:rsidRPr="00326650">
        <w:rPr>
          <w:rFonts w:asciiTheme="majorHAnsi" w:hAnsiTheme="majorHAnsi" w:cstheme="majorHAnsi"/>
          <w:sz w:val="22"/>
          <w:szCs w:val="22"/>
        </w:rPr>
        <w:t>.</w:t>
      </w:r>
    </w:p>
    <w:p w14:paraId="7D87467F" w14:textId="77777777" w:rsidR="00326650" w:rsidRPr="00326650" w:rsidRDefault="00326650" w:rsidP="005B370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74F880" w14:textId="47F12B3E" w:rsidR="005A3A1D" w:rsidRDefault="005A3A1D" w:rsidP="005B3701">
      <w:pPr>
        <w:jc w:val="both"/>
        <w:rPr>
          <w:rFonts w:asciiTheme="majorHAnsi" w:hAnsiTheme="majorHAnsi" w:cstheme="majorHAnsi"/>
          <w:sz w:val="22"/>
          <w:szCs w:val="22"/>
        </w:rPr>
      </w:pPr>
      <w:r w:rsidRPr="009344B8">
        <w:rPr>
          <w:rFonts w:asciiTheme="majorHAnsi" w:hAnsiTheme="majorHAnsi" w:cstheme="majorHAnsi"/>
          <w:sz w:val="22"/>
          <w:szCs w:val="22"/>
        </w:rPr>
        <w:t>Purchase of land</w:t>
      </w:r>
      <w:r w:rsidR="004C55AA">
        <w:rPr>
          <w:rFonts w:asciiTheme="majorHAnsi" w:hAnsiTheme="majorHAnsi" w:cstheme="majorHAnsi"/>
          <w:sz w:val="22"/>
          <w:szCs w:val="22"/>
        </w:rPr>
        <w:t>;</w:t>
      </w:r>
      <w:r w:rsidRPr="009344B8">
        <w:rPr>
          <w:rFonts w:asciiTheme="majorHAnsi" w:hAnsiTheme="majorHAnsi" w:cstheme="majorHAnsi"/>
          <w:sz w:val="22"/>
          <w:szCs w:val="22"/>
        </w:rPr>
        <w:t xml:space="preserve"> purchase of conservation easements</w:t>
      </w:r>
      <w:r w:rsidR="004C55AA">
        <w:rPr>
          <w:rFonts w:asciiTheme="majorHAnsi" w:hAnsiTheme="majorHAnsi" w:cstheme="majorHAnsi"/>
          <w:sz w:val="22"/>
          <w:szCs w:val="22"/>
        </w:rPr>
        <w:t>; purchase of</w:t>
      </w:r>
      <w:r w:rsidR="00810E41">
        <w:rPr>
          <w:rFonts w:asciiTheme="majorHAnsi" w:hAnsiTheme="majorHAnsi" w:cstheme="majorHAnsi"/>
          <w:sz w:val="22"/>
          <w:szCs w:val="22"/>
        </w:rPr>
        <w:t xml:space="preserve"> development rights.</w:t>
      </w:r>
    </w:p>
    <w:p w14:paraId="4C9EA5A7" w14:textId="77777777" w:rsidR="00C21483" w:rsidRPr="009344B8" w:rsidRDefault="00C21483" w:rsidP="00D401C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6E0164" w14:textId="412EE121" w:rsidR="005A3A1D" w:rsidRPr="009344B8" w:rsidRDefault="00404202" w:rsidP="005B370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A3A1D" w:rsidRPr="009344B8">
        <w:rPr>
          <w:rFonts w:asciiTheme="majorHAnsi" w:hAnsiTheme="majorHAnsi" w:cstheme="majorHAnsi"/>
          <w:sz w:val="22"/>
          <w:szCs w:val="22"/>
        </w:rPr>
        <w:t>and purchase</w:t>
      </w:r>
      <w:r>
        <w:rPr>
          <w:rFonts w:asciiTheme="majorHAnsi" w:hAnsiTheme="majorHAnsi" w:cstheme="majorHAnsi"/>
          <w:sz w:val="22"/>
          <w:szCs w:val="22"/>
        </w:rPr>
        <w:t xml:space="preserve"> for public facilities</w:t>
      </w:r>
      <w:r w:rsidR="005A3A1D" w:rsidRPr="009344B8">
        <w:rPr>
          <w:rFonts w:asciiTheme="majorHAnsi" w:hAnsiTheme="majorHAnsi" w:cstheme="majorHAnsi"/>
          <w:sz w:val="22"/>
          <w:szCs w:val="22"/>
        </w:rPr>
        <w:t>:</w:t>
      </w:r>
    </w:p>
    <w:p w14:paraId="5E3850B0" w14:textId="22F03591" w:rsidR="005A3A1D" w:rsidRPr="009344B8" w:rsidRDefault="005A3A1D" w:rsidP="005B37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Park sites, library sites, public safety facility sites, street rights-of-way </w:t>
      </w:r>
      <w:r w:rsidR="006A2238">
        <w:rPr>
          <w:rFonts w:asciiTheme="majorHAnsi" w:hAnsiTheme="majorHAnsi" w:cstheme="majorHAnsi"/>
        </w:rPr>
        <w:t>and other public uses</w:t>
      </w:r>
      <w:r w:rsidR="00C974F1">
        <w:rPr>
          <w:rFonts w:asciiTheme="majorHAnsi" w:hAnsiTheme="majorHAnsi" w:cstheme="majorHAnsi"/>
        </w:rPr>
        <w:t>.</w:t>
      </w:r>
    </w:p>
    <w:p w14:paraId="317C576A" w14:textId="69268EF7" w:rsidR="005A3A1D" w:rsidRPr="009344B8" w:rsidRDefault="00404202" w:rsidP="005B370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8A105C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 xml:space="preserve">purchase </w:t>
      </w:r>
      <w:r w:rsidR="008A105C">
        <w:rPr>
          <w:rFonts w:asciiTheme="majorHAnsi" w:hAnsiTheme="majorHAnsi" w:cstheme="majorHAnsi"/>
          <w:sz w:val="22"/>
          <w:szCs w:val="22"/>
        </w:rPr>
        <w:t>for</w:t>
      </w:r>
      <w:r w:rsidR="00DE7DF3">
        <w:rPr>
          <w:rFonts w:asciiTheme="majorHAnsi" w:hAnsiTheme="majorHAnsi" w:cstheme="majorHAnsi"/>
          <w:sz w:val="22"/>
          <w:szCs w:val="22"/>
        </w:rPr>
        <w:t xml:space="preserve"> </w:t>
      </w:r>
      <w:r w:rsidR="005A3A1D" w:rsidRPr="009344B8">
        <w:rPr>
          <w:rFonts w:asciiTheme="majorHAnsi" w:hAnsiTheme="majorHAnsi" w:cstheme="majorHAnsi"/>
          <w:sz w:val="22"/>
          <w:szCs w:val="22"/>
        </w:rPr>
        <w:t xml:space="preserve">Sonoran Desert </w:t>
      </w:r>
      <w:r w:rsidR="00DE7DF3">
        <w:rPr>
          <w:rFonts w:asciiTheme="majorHAnsi" w:hAnsiTheme="majorHAnsi" w:cstheme="majorHAnsi"/>
          <w:sz w:val="22"/>
          <w:szCs w:val="22"/>
        </w:rPr>
        <w:t>preservation</w:t>
      </w:r>
      <w:r w:rsidR="005A3A1D" w:rsidRPr="009344B8">
        <w:rPr>
          <w:rFonts w:asciiTheme="majorHAnsi" w:hAnsiTheme="majorHAnsi" w:cstheme="majorHAnsi"/>
          <w:sz w:val="22"/>
          <w:szCs w:val="22"/>
        </w:rPr>
        <w:t>:</w:t>
      </w:r>
    </w:p>
    <w:p w14:paraId="0A32516E" w14:textId="06C03168" w:rsidR="005A3A1D" w:rsidRPr="009344B8" w:rsidRDefault="005A3A1D" w:rsidP="005B37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Phoenix – Purchase of land to inc</w:t>
      </w:r>
      <w:r w:rsidR="00DE7DF3">
        <w:rPr>
          <w:rFonts w:asciiTheme="majorHAnsi" w:hAnsiTheme="majorHAnsi" w:cstheme="majorHAnsi"/>
        </w:rPr>
        <w:t>lude</w:t>
      </w:r>
      <w:r w:rsidRPr="009344B8">
        <w:rPr>
          <w:rFonts w:asciiTheme="majorHAnsi" w:hAnsiTheme="majorHAnsi" w:cstheme="majorHAnsi"/>
        </w:rPr>
        <w:t xml:space="preserve"> in the Sonoran Desert Preserve</w:t>
      </w:r>
    </w:p>
    <w:p w14:paraId="476AAD38" w14:textId="45CE9CC8" w:rsidR="005A3A1D" w:rsidRPr="009344B8" w:rsidRDefault="005A3A1D" w:rsidP="005B37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Scottsdale – Purchase of land to inc</w:t>
      </w:r>
      <w:r w:rsidR="005172BB">
        <w:rPr>
          <w:rFonts w:asciiTheme="majorHAnsi" w:hAnsiTheme="majorHAnsi" w:cstheme="majorHAnsi"/>
        </w:rPr>
        <w:t>lude</w:t>
      </w:r>
      <w:r w:rsidRPr="009344B8">
        <w:rPr>
          <w:rFonts w:asciiTheme="majorHAnsi" w:hAnsiTheme="majorHAnsi" w:cstheme="majorHAnsi"/>
        </w:rPr>
        <w:t xml:space="preserve"> in the McDowell Sonoran Preserve</w:t>
      </w:r>
    </w:p>
    <w:p w14:paraId="62842963" w14:textId="69A3DCDF" w:rsidR="005A3A1D" w:rsidRDefault="005A3A1D" w:rsidP="005B3701">
      <w:pPr>
        <w:jc w:val="both"/>
        <w:rPr>
          <w:rFonts w:asciiTheme="majorHAnsi" w:hAnsiTheme="majorHAnsi" w:cstheme="majorHAnsi"/>
          <w:sz w:val="22"/>
          <w:szCs w:val="22"/>
        </w:rPr>
      </w:pPr>
      <w:r w:rsidRPr="009344B8">
        <w:rPr>
          <w:rFonts w:asciiTheme="majorHAnsi" w:hAnsiTheme="majorHAnsi" w:cstheme="majorHAnsi"/>
          <w:sz w:val="22"/>
          <w:szCs w:val="22"/>
        </w:rPr>
        <w:t xml:space="preserve">Both cities use voter approved sales tax increases to fund the purchases. </w:t>
      </w:r>
      <w:r w:rsidR="004438DF">
        <w:rPr>
          <w:rFonts w:asciiTheme="majorHAnsi" w:hAnsiTheme="majorHAnsi" w:cstheme="majorHAnsi"/>
          <w:sz w:val="22"/>
          <w:szCs w:val="22"/>
        </w:rPr>
        <w:t>The land purchases</w:t>
      </w:r>
      <w:r w:rsidRPr="009344B8">
        <w:rPr>
          <w:rFonts w:asciiTheme="majorHAnsi" w:hAnsiTheme="majorHAnsi" w:cstheme="majorHAnsi"/>
          <w:sz w:val="22"/>
          <w:szCs w:val="22"/>
        </w:rPr>
        <w:t xml:space="preserve"> demonstrate how cities</w:t>
      </w:r>
      <w:r w:rsidR="0022284B">
        <w:rPr>
          <w:rFonts w:asciiTheme="majorHAnsi" w:hAnsiTheme="majorHAnsi" w:cstheme="majorHAnsi"/>
          <w:sz w:val="22"/>
          <w:szCs w:val="22"/>
        </w:rPr>
        <w:t xml:space="preserve"> can acquire land for a public pu</w:t>
      </w:r>
      <w:r w:rsidR="005172BB">
        <w:rPr>
          <w:rFonts w:asciiTheme="majorHAnsi" w:hAnsiTheme="majorHAnsi" w:cstheme="majorHAnsi"/>
          <w:sz w:val="22"/>
          <w:szCs w:val="22"/>
        </w:rPr>
        <w:t>r</w:t>
      </w:r>
      <w:r w:rsidR="0022284B">
        <w:rPr>
          <w:rFonts w:asciiTheme="majorHAnsi" w:hAnsiTheme="majorHAnsi" w:cstheme="majorHAnsi"/>
          <w:sz w:val="22"/>
          <w:szCs w:val="22"/>
        </w:rPr>
        <w:t>pose</w:t>
      </w:r>
      <w:r w:rsidR="00810E41">
        <w:rPr>
          <w:rFonts w:asciiTheme="majorHAnsi" w:hAnsiTheme="majorHAnsi" w:cstheme="majorHAnsi"/>
          <w:sz w:val="22"/>
          <w:szCs w:val="22"/>
        </w:rPr>
        <w:t>.</w:t>
      </w:r>
    </w:p>
    <w:p w14:paraId="4E5D5950" w14:textId="77777777" w:rsidR="00E67B7E" w:rsidRDefault="00E67B7E" w:rsidP="00D401C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162330" w14:textId="6EFBAE78" w:rsidR="002F52CC" w:rsidRDefault="002F52CC" w:rsidP="00D401C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Land purchase</w:t>
      </w:r>
      <w:r w:rsidR="00E67B7E">
        <w:rPr>
          <w:rFonts w:asciiTheme="majorHAnsi" w:hAnsiTheme="majorHAnsi" w:cstheme="majorHAnsi"/>
          <w:sz w:val="22"/>
          <w:szCs w:val="22"/>
        </w:rPr>
        <w:t xml:space="preserve"> and land leases</w:t>
      </w:r>
      <w:r w:rsidR="00AB0C95">
        <w:rPr>
          <w:rFonts w:asciiTheme="majorHAnsi" w:hAnsiTheme="majorHAnsi" w:cstheme="majorHAnsi"/>
          <w:sz w:val="22"/>
          <w:szCs w:val="22"/>
        </w:rPr>
        <w:t>:</w:t>
      </w:r>
    </w:p>
    <w:p w14:paraId="0863A21F" w14:textId="77777777" w:rsidR="00E86A1A" w:rsidRDefault="005A3A1D" w:rsidP="00D401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Pima County – Purchase of land </w:t>
      </w:r>
      <w:r w:rsidR="00440ED0">
        <w:rPr>
          <w:rFonts w:asciiTheme="majorHAnsi" w:hAnsiTheme="majorHAnsi" w:cstheme="majorHAnsi"/>
        </w:rPr>
        <w:t>for the Sonoran Desert Conservation Plan</w:t>
      </w:r>
      <w:r w:rsidR="00E86A1A">
        <w:rPr>
          <w:rFonts w:asciiTheme="majorHAnsi" w:hAnsiTheme="majorHAnsi" w:cstheme="majorHAnsi"/>
        </w:rPr>
        <w:t>.</w:t>
      </w:r>
    </w:p>
    <w:p w14:paraId="0334B853" w14:textId="6643B89C" w:rsidR="005A3A1D" w:rsidRPr="009344B8" w:rsidRDefault="00E86A1A" w:rsidP="00D401C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Pima County – Lease of </w:t>
      </w:r>
      <w:r w:rsidR="005A3A1D" w:rsidRPr="009344B8">
        <w:rPr>
          <w:rFonts w:asciiTheme="majorHAnsi" w:hAnsiTheme="majorHAnsi" w:cstheme="majorHAnsi"/>
        </w:rPr>
        <w:t>Az State Trust Land for the Sonoran Desert Conservation Plan</w:t>
      </w:r>
    </w:p>
    <w:p w14:paraId="188FF736" w14:textId="11365ACE" w:rsidR="005A3A1D" w:rsidRDefault="009B03BB" w:rsidP="00D401C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Pima </w:t>
      </w:r>
      <w:r w:rsidR="005A3A1D" w:rsidRPr="009344B8">
        <w:rPr>
          <w:rFonts w:asciiTheme="majorHAnsi" w:hAnsiTheme="majorHAnsi" w:cstheme="majorHAnsi"/>
          <w:sz w:val="22"/>
          <w:szCs w:val="22"/>
        </w:rPr>
        <w:t xml:space="preserve">County used funds approved by voters </w:t>
      </w:r>
      <w:r w:rsidR="00AB6997">
        <w:rPr>
          <w:rFonts w:asciiTheme="majorHAnsi" w:hAnsiTheme="majorHAnsi" w:cstheme="majorHAnsi"/>
          <w:sz w:val="22"/>
          <w:szCs w:val="22"/>
        </w:rPr>
        <w:t>through</w:t>
      </w:r>
      <w:r w:rsidR="005A3A1D" w:rsidRPr="009344B8">
        <w:rPr>
          <w:rFonts w:asciiTheme="majorHAnsi" w:hAnsiTheme="majorHAnsi" w:cstheme="majorHAnsi"/>
          <w:sz w:val="22"/>
          <w:szCs w:val="22"/>
        </w:rPr>
        <w:t xml:space="preserve"> a bond election</w:t>
      </w:r>
      <w:r w:rsidR="00DF321E">
        <w:rPr>
          <w:rFonts w:asciiTheme="majorHAnsi" w:hAnsiTheme="majorHAnsi" w:cstheme="majorHAnsi"/>
          <w:sz w:val="22"/>
          <w:szCs w:val="22"/>
        </w:rPr>
        <w:t xml:space="preserve"> and has</w:t>
      </w:r>
      <w:r w:rsidR="005A3A1D" w:rsidRPr="009344B8">
        <w:rPr>
          <w:rFonts w:asciiTheme="majorHAnsi" w:hAnsiTheme="majorHAnsi" w:cstheme="majorHAnsi"/>
          <w:sz w:val="22"/>
          <w:szCs w:val="22"/>
        </w:rPr>
        <w:t xml:space="preserve"> </w:t>
      </w:r>
      <w:r w:rsidR="007D26BD">
        <w:rPr>
          <w:rFonts w:asciiTheme="majorHAnsi" w:hAnsiTheme="majorHAnsi" w:cstheme="majorHAnsi"/>
          <w:sz w:val="22"/>
          <w:szCs w:val="22"/>
        </w:rPr>
        <w:t>p</w:t>
      </w:r>
      <w:r w:rsidR="005A3A1D" w:rsidRPr="009344B8">
        <w:rPr>
          <w:rFonts w:asciiTheme="majorHAnsi" w:hAnsiTheme="majorHAnsi" w:cstheme="majorHAnsi"/>
          <w:sz w:val="22"/>
          <w:szCs w:val="22"/>
        </w:rPr>
        <w:t>artnered with Arizona Land and Water Trust</w:t>
      </w:r>
      <w:r w:rsidR="00AB6997">
        <w:rPr>
          <w:rFonts w:asciiTheme="majorHAnsi" w:hAnsiTheme="majorHAnsi" w:cstheme="majorHAnsi"/>
          <w:sz w:val="22"/>
          <w:szCs w:val="22"/>
        </w:rPr>
        <w:t xml:space="preserve"> in s</w:t>
      </w:r>
      <w:r w:rsidR="00E31E44">
        <w:rPr>
          <w:rFonts w:asciiTheme="majorHAnsi" w:hAnsiTheme="majorHAnsi" w:cstheme="majorHAnsi"/>
          <w:sz w:val="22"/>
          <w:szCs w:val="22"/>
        </w:rPr>
        <w:t>ome acquisitions</w:t>
      </w:r>
      <w:r w:rsidR="005A3A1D" w:rsidRPr="009344B8">
        <w:rPr>
          <w:rFonts w:asciiTheme="majorHAnsi" w:hAnsiTheme="majorHAnsi" w:cstheme="majorHAnsi"/>
          <w:sz w:val="22"/>
          <w:szCs w:val="22"/>
        </w:rPr>
        <w:t>.</w:t>
      </w:r>
    </w:p>
    <w:p w14:paraId="1E0A9228" w14:textId="75276895" w:rsidR="00AF723A" w:rsidRDefault="00AF723A" w:rsidP="00D401C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4E3E4D" w14:textId="7908F4F7" w:rsidR="00780A58" w:rsidRPr="00593AFD" w:rsidRDefault="00780A58" w:rsidP="00593AFD">
      <w:pPr>
        <w:keepNext/>
        <w:keepLines/>
        <w:spacing w:before="40"/>
        <w:outlineLvl w:val="2"/>
        <w:rPr>
          <w:rFonts w:asciiTheme="majorHAnsi" w:eastAsia="Times New Roman" w:hAnsiTheme="majorHAnsi" w:cstheme="majorHAnsi"/>
          <w:b/>
          <w:color w:val="000000" w:themeColor="text1"/>
        </w:rPr>
      </w:pPr>
      <w:r w:rsidRPr="00593AFD">
        <w:rPr>
          <w:rFonts w:asciiTheme="majorHAnsi" w:eastAsia="Times New Roman" w:hAnsiTheme="majorHAnsi" w:cstheme="majorHAnsi"/>
          <w:b/>
          <w:color w:val="000000" w:themeColor="text1"/>
        </w:rPr>
        <w:t>Zoning Regulations - Planned Area Development</w:t>
      </w:r>
      <w:r w:rsidR="00593AFD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  <w:r w:rsidRPr="00593AFD">
        <w:rPr>
          <w:rFonts w:asciiTheme="majorHAnsi" w:eastAsia="Times New Roman" w:hAnsiTheme="majorHAnsi" w:cstheme="majorHAnsi"/>
          <w:b/>
          <w:color w:val="000000" w:themeColor="text1"/>
        </w:rPr>
        <w:t>(PAD) and Planned Unit Development</w:t>
      </w:r>
      <w:r w:rsidR="00593AFD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  <w:r w:rsidRPr="00593AFD">
        <w:rPr>
          <w:rFonts w:asciiTheme="majorHAnsi" w:eastAsia="Times New Roman" w:hAnsiTheme="majorHAnsi" w:cstheme="majorHAnsi"/>
          <w:b/>
          <w:color w:val="000000" w:themeColor="text1"/>
        </w:rPr>
        <w:t>(PUD)</w:t>
      </w:r>
    </w:p>
    <w:p w14:paraId="79B9066E" w14:textId="77777777" w:rsidR="00780A58" w:rsidRPr="00780A58" w:rsidRDefault="00780A58" w:rsidP="00D401C3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A38B0D5" w14:textId="20AFF53E" w:rsidR="00780A58" w:rsidRPr="00780A58" w:rsidRDefault="00780A58" w:rsidP="00D401C3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PAD/PUD are </w:t>
      </w:r>
      <w:r w:rsidR="00C75E34">
        <w:rPr>
          <w:rFonts w:asciiTheme="majorHAnsi" w:eastAsia="Calibri" w:hAnsiTheme="majorHAnsi" w:cstheme="majorHAnsi"/>
          <w:sz w:val="22"/>
          <w:szCs w:val="22"/>
        </w:rPr>
        <w:t xml:space="preserve">zoning tools </w:t>
      </w: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used to encourage innovative design that allows </w:t>
      </w:r>
      <w:r w:rsidR="00170FA3">
        <w:rPr>
          <w:rFonts w:asciiTheme="majorHAnsi" w:eastAsia="Calibri" w:hAnsiTheme="majorHAnsi" w:cstheme="majorHAnsi"/>
          <w:sz w:val="22"/>
          <w:szCs w:val="22"/>
        </w:rPr>
        <w:t xml:space="preserve">a </w:t>
      </w: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developer to cluster residential units </w:t>
      </w:r>
      <w:proofErr w:type="gramStart"/>
      <w:r w:rsidR="005D6162">
        <w:rPr>
          <w:rFonts w:asciiTheme="majorHAnsi" w:eastAsia="Calibri" w:hAnsiTheme="majorHAnsi" w:cstheme="majorHAnsi"/>
          <w:sz w:val="22"/>
          <w:szCs w:val="22"/>
        </w:rPr>
        <w:t xml:space="preserve">so as </w:t>
      </w:r>
      <w:r w:rsidRPr="00780A58">
        <w:rPr>
          <w:rFonts w:asciiTheme="majorHAnsi" w:eastAsia="Calibri" w:hAnsiTheme="majorHAnsi" w:cstheme="majorHAnsi"/>
          <w:sz w:val="22"/>
          <w:szCs w:val="22"/>
        </w:rPr>
        <w:t>to</w:t>
      </w:r>
      <w:proofErr w:type="gramEnd"/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 retain portions of the development site for amenity uses – parks, open space, stormwater basins. This allows the developer to </w:t>
      </w:r>
      <w:r w:rsidR="005F4109">
        <w:rPr>
          <w:rFonts w:asciiTheme="majorHAnsi" w:eastAsia="Calibri" w:hAnsiTheme="majorHAnsi" w:cstheme="majorHAnsi"/>
          <w:sz w:val="22"/>
          <w:szCs w:val="22"/>
        </w:rPr>
        <w:t>“transfer</w:t>
      </w:r>
      <w:r w:rsidR="00A86355">
        <w:rPr>
          <w:rFonts w:asciiTheme="majorHAnsi" w:eastAsia="Calibri" w:hAnsiTheme="majorHAnsi" w:cstheme="majorHAnsi"/>
          <w:sz w:val="22"/>
          <w:szCs w:val="22"/>
        </w:rPr>
        <w:t>” th</w:t>
      </w:r>
      <w:r w:rsidR="009E7828">
        <w:rPr>
          <w:rFonts w:asciiTheme="majorHAnsi" w:eastAsia="Calibri" w:hAnsiTheme="majorHAnsi" w:cstheme="majorHAnsi"/>
          <w:sz w:val="22"/>
          <w:szCs w:val="22"/>
        </w:rPr>
        <w:t>e</w:t>
      </w: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 development rights </w:t>
      </w:r>
      <w:r w:rsidR="006D3B68">
        <w:rPr>
          <w:rFonts w:asciiTheme="majorHAnsi" w:eastAsia="Calibri" w:hAnsiTheme="majorHAnsi" w:cstheme="majorHAnsi"/>
          <w:sz w:val="22"/>
          <w:szCs w:val="22"/>
        </w:rPr>
        <w:t>from</w:t>
      </w: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D3B68">
        <w:rPr>
          <w:rFonts w:asciiTheme="majorHAnsi" w:eastAsia="Calibri" w:hAnsiTheme="majorHAnsi" w:cstheme="majorHAnsi"/>
          <w:sz w:val="22"/>
          <w:szCs w:val="22"/>
        </w:rPr>
        <w:t>a</w:t>
      </w: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D3B68">
        <w:rPr>
          <w:rFonts w:asciiTheme="majorHAnsi" w:eastAsia="Calibri" w:hAnsiTheme="majorHAnsi" w:cstheme="majorHAnsi"/>
          <w:sz w:val="22"/>
          <w:szCs w:val="22"/>
        </w:rPr>
        <w:t xml:space="preserve">specifically identified </w:t>
      </w:r>
      <w:r w:rsidR="00D90752">
        <w:rPr>
          <w:rFonts w:asciiTheme="majorHAnsi" w:eastAsia="Calibri" w:hAnsiTheme="majorHAnsi" w:cstheme="majorHAnsi"/>
          <w:sz w:val="22"/>
          <w:szCs w:val="22"/>
        </w:rPr>
        <w:t>“</w:t>
      </w:r>
      <w:r w:rsidR="00527239">
        <w:rPr>
          <w:rFonts w:asciiTheme="majorHAnsi" w:eastAsia="Calibri" w:hAnsiTheme="majorHAnsi" w:cstheme="majorHAnsi"/>
          <w:sz w:val="22"/>
          <w:szCs w:val="22"/>
        </w:rPr>
        <w:t>sending</w:t>
      </w:r>
      <w:r w:rsidR="00D90752">
        <w:rPr>
          <w:rFonts w:asciiTheme="majorHAnsi" w:eastAsia="Calibri" w:hAnsiTheme="majorHAnsi" w:cstheme="majorHAnsi"/>
          <w:sz w:val="22"/>
          <w:szCs w:val="22"/>
        </w:rPr>
        <w:t>”</w:t>
      </w:r>
      <w:r w:rsidR="0052723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80A58">
        <w:rPr>
          <w:rFonts w:asciiTheme="majorHAnsi" w:eastAsia="Calibri" w:hAnsiTheme="majorHAnsi" w:cstheme="majorHAnsi"/>
          <w:sz w:val="22"/>
          <w:szCs w:val="22"/>
        </w:rPr>
        <w:t>parcel</w:t>
      </w:r>
      <w:r w:rsidR="00CE33A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D3B68">
        <w:rPr>
          <w:rFonts w:asciiTheme="majorHAnsi" w:eastAsia="Calibri" w:hAnsiTheme="majorHAnsi" w:cstheme="majorHAnsi"/>
          <w:sz w:val="22"/>
          <w:szCs w:val="22"/>
        </w:rPr>
        <w:t xml:space="preserve">within </w:t>
      </w:r>
      <w:r w:rsidR="00527239">
        <w:rPr>
          <w:rFonts w:asciiTheme="majorHAnsi" w:eastAsia="Calibri" w:hAnsiTheme="majorHAnsi" w:cstheme="majorHAnsi"/>
          <w:sz w:val="22"/>
          <w:szCs w:val="22"/>
        </w:rPr>
        <w:t>a proposed</w:t>
      </w:r>
      <w:r w:rsidR="006D3B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55E23">
        <w:rPr>
          <w:rFonts w:asciiTheme="majorHAnsi" w:eastAsia="Calibri" w:hAnsiTheme="majorHAnsi" w:cstheme="majorHAnsi"/>
          <w:sz w:val="22"/>
          <w:szCs w:val="22"/>
        </w:rPr>
        <w:t xml:space="preserve">development </w:t>
      </w:r>
      <w:r w:rsidR="007A427F">
        <w:rPr>
          <w:rFonts w:asciiTheme="majorHAnsi" w:eastAsia="Calibri" w:hAnsiTheme="majorHAnsi" w:cstheme="majorHAnsi"/>
          <w:sz w:val="22"/>
          <w:szCs w:val="22"/>
        </w:rPr>
        <w:t xml:space="preserve">project </w:t>
      </w:r>
      <w:r w:rsidR="00A86355">
        <w:rPr>
          <w:rFonts w:asciiTheme="majorHAnsi" w:eastAsia="Calibri" w:hAnsiTheme="majorHAnsi" w:cstheme="majorHAnsi"/>
          <w:sz w:val="22"/>
          <w:szCs w:val="22"/>
        </w:rPr>
        <w:t>to a</w:t>
      </w:r>
      <w:r w:rsidR="009E782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D90752">
        <w:rPr>
          <w:rFonts w:asciiTheme="majorHAnsi" w:eastAsia="Calibri" w:hAnsiTheme="majorHAnsi" w:cstheme="majorHAnsi"/>
          <w:sz w:val="22"/>
          <w:szCs w:val="22"/>
        </w:rPr>
        <w:t>“receiving”</w:t>
      </w:r>
      <w:r w:rsidR="009E7828">
        <w:rPr>
          <w:rFonts w:asciiTheme="majorHAnsi" w:eastAsia="Calibri" w:hAnsiTheme="majorHAnsi" w:cstheme="majorHAnsi"/>
          <w:sz w:val="22"/>
          <w:szCs w:val="22"/>
        </w:rPr>
        <w:t xml:space="preserve"> parcel(s) in</w:t>
      </w:r>
      <w:r w:rsidR="007A427F">
        <w:rPr>
          <w:rFonts w:asciiTheme="majorHAnsi" w:eastAsia="Calibri" w:hAnsiTheme="majorHAnsi" w:cstheme="majorHAnsi"/>
          <w:sz w:val="22"/>
          <w:szCs w:val="22"/>
        </w:rPr>
        <w:t xml:space="preserve"> the same project. This action by the developer is generally done in</w:t>
      </w:r>
      <w:r w:rsidR="009E7828">
        <w:rPr>
          <w:rFonts w:asciiTheme="majorHAnsi" w:eastAsia="Calibri" w:hAnsiTheme="majorHAnsi" w:cstheme="majorHAnsi"/>
          <w:sz w:val="22"/>
          <w:szCs w:val="22"/>
        </w:rPr>
        <w:t xml:space="preserve"> exchange for providing </w:t>
      </w:r>
      <w:r w:rsidR="00DD6670">
        <w:rPr>
          <w:rFonts w:asciiTheme="majorHAnsi" w:eastAsia="Calibri" w:hAnsiTheme="majorHAnsi" w:cstheme="majorHAnsi"/>
          <w:sz w:val="22"/>
          <w:szCs w:val="22"/>
        </w:rPr>
        <w:t>an</w:t>
      </w:r>
      <w:r w:rsidR="009E7828">
        <w:rPr>
          <w:rFonts w:asciiTheme="majorHAnsi" w:eastAsia="Calibri" w:hAnsiTheme="majorHAnsi" w:cstheme="majorHAnsi"/>
          <w:sz w:val="22"/>
          <w:szCs w:val="22"/>
        </w:rPr>
        <w:t xml:space="preserve"> amenity</w:t>
      </w:r>
      <w:r w:rsidR="00DD6670">
        <w:rPr>
          <w:rFonts w:asciiTheme="majorHAnsi" w:eastAsia="Calibri" w:hAnsiTheme="majorHAnsi" w:cstheme="majorHAnsi"/>
          <w:sz w:val="22"/>
          <w:szCs w:val="22"/>
        </w:rPr>
        <w:t>(</w:t>
      </w:r>
      <w:proofErr w:type="spellStart"/>
      <w:r w:rsidR="00DD6670">
        <w:rPr>
          <w:rFonts w:asciiTheme="majorHAnsi" w:eastAsia="Calibri" w:hAnsiTheme="majorHAnsi" w:cstheme="majorHAnsi"/>
          <w:sz w:val="22"/>
          <w:szCs w:val="22"/>
        </w:rPr>
        <w:t>ies</w:t>
      </w:r>
      <w:proofErr w:type="spellEnd"/>
      <w:r w:rsidR="00DD6670">
        <w:rPr>
          <w:rFonts w:asciiTheme="majorHAnsi" w:eastAsia="Calibri" w:hAnsiTheme="majorHAnsi" w:cstheme="majorHAnsi"/>
          <w:sz w:val="22"/>
          <w:szCs w:val="22"/>
        </w:rPr>
        <w:t>)</w:t>
      </w:r>
      <w:r w:rsidR="00455E23">
        <w:rPr>
          <w:rFonts w:asciiTheme="majorHAnsi" w:eastAsia="Calibri" w:hAnsiTheme="majorHAnsi" w:cstheme="majorHAnsi"/>
          <w:sz w:val="22"/>
          <w:szCs w:val="22"/>
        </w:rPr>
        <w:t xml:space="preserve"> within the same development project</w:t>
      </w:r>
      <w:r w:rsidRPr="00780A5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BE4B36B" w14:textId="59D1DFAE" w:rsidR="00780A58" w:rsidRPr="00780A58" w:rsidRDefault="00C75E34" w:rsidP="00D401C3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M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>unicipalities and counties can use th</w:t>
      </w:r>
      <w:r w:rsidR="009D08D5">
        <w:rPr>
          <w:rFonts w:asciiTheme="majorHAnsi" w:eastAsia="Calibri" w:hAnsiTheme="majorHAnsi" w:cstheme="majorHAnsi"/>
          <w:sz w:val="22"/>
          <w:szCs w:val="22"/>
        </w:rPr>
        <w:t>e PAD/PUD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 xml:space="preserve"> zoning tool to preserve </w:t>
      </w:r>
      <w:r w:rsidR="00FC09D7">
        <w:rPr>
          <w:rFonts w:asciiTheme="majorHAnsi" w:eastAsia="Calibri" w:hAnsiTheme="majorHAnsi" w:cstheme="majorHAnsi"/>
          <w:sz w:val="22"/>
          <w:szCs w:val="22"/>
        </w:rPr>
        <w:t>a portion of a proposed development</w:t>
      </w:r>
      <w:r w:rsidR="004C231A">
        <w:rPr>
          <w:rFonts w:asciiTheme="majorHAnsi" w:eastAsia="Calibri" w:hAnsiTheme="majorHAnsi" w:cstheme="majorHAnsi"/>
          <w:sz w:val="22"/>
          <w:szCs w:val="22"/>
        </w:rPr>
        <w:t xml:space="preserve"> for </w:t>
      </w:r>
      <w:r w:rsidR="00B07907">
        <w:rPr>
          <w:rFonts w:asciiTheme="majorHAnsi" w:eastAsia="Calibri" w:hAnsiTheme="majorHAnsi" w:cstheme="majorHAnsi"/>
          <w:sz w:val="22"/>
          <w:szCs w:val="22"/>
        </w:rPr>
        <w:t>a variety of amenities including</w:t>
      </w:r>
      <w:r w:rsidR="00B26415">
        <w:rPr>
          <w:rFonts w:asciiTheme="majorHAnsi" w:eastAsia="Calibri" w:hAnsiTheme="majorHAnsi" w:cstheme="majorHAnsi"/>
          <w:sz w:val="22"/>
          <w:szCs w:val="22"/>
        </w:rPr>
        <w:t xml:space="preserve"> providing an area for </w:t>
      </w:r>
      <w:r w:rsidR="004C231A">
        <w:rPr>
          <w:rFonts w:asciiTheme="majorHAnsi" w:eastAsia="Calibri" w:hAnsiTheme="majorHAnsi" w:cstheme="majorHAnsi"/>
          <w:sz w:val="22"/>
          <w:szCs w:val="22"/>
        </w:rPr>
        <w:t>growing food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 xml:space="preserve">. There is a need </w:t>
      </w:r>
      <w:r w:rsidR="004F1550">
        <w:rPr>
          <w:rFonts w:asciiTheme="majorHAnsi" w:eastAsia="Calibri" w:hAnsiTheme="majorHAnsi" w:cstheme="majorHAnsi"/>
          <w:sz w:val="22"/>
          <w:szCs w:val="22"/>
        </w:rPr>
        <w:t>to have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 xml:space="preserve"> local policies and </w:t>
      </w:r>
      <w:r w:rsidR="006F2F6C">
        <w:rPr>
          <w:rFonts w:asciiTheme="majorHAnsi" w:eastAsia="Calibri" w:hAnsiTheme="majorHAnsi" w:cstheme="majorHAnsi"/>
          <w:sz w:val="22"/>
          <w:szCs w:val="22"/>
        </w:rPr>
        <w:t xml:space="preserve">zoning regulations in place as well as a willingness for 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 xml:space="preserve">collaboration with the development community to encourage </w:t>
      </w:r>
      <w:r w:rsidR="009E6DC1">
        <w:rPr>
          <w:rFonts w:asciiTheme="majorHAnsi" w:eastAsia="Calibri" w:hAnsiTheme="majorHAnsi" w:cstheme="majorHAnsi"/>
          <w:sz w:val="22"/>
          <w:szCs w:val="22"/>
        </w:rPr>
        <w:t>farmland preservation</w:t>
      </w:r>
      <w:r w:rsidR="00780A58" w:rsidRPr="00780A5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FC3FA1F" w14:textId="4633545E" w:rsidR="00780A58" w:rsidRDefault="00780A58" w:rsidP="00D401C3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80A58">
        <w:rPr>
          <w:rFonts w:asciiTheme="majorHAnsi" w:eastAsia="Calibri" w:hAnsiTheme="majorHAnsi" w:cstheme="majorHAnsi"/>
          <w:sz w:val="22"/>
          <w:szCs w:val="22"/>
        </w:rPr>
        <w:t xml:space="preserve">Example: Agritopia in Gilbert </w:t>
      </w:r>
      <w:r w:rsidR="00946E1C">
        <w:rPr>
          <w:rFonts w:asciiTheme="majorHAnsi" w:eastAsia="Calibri" w:hAnsiTheme="majorHAnsi" w:cstheme="majorHAnsi"/>
          <w:sz w:val="22"/>
          <w:szCs w:val="22"/>
        </w:rPr>
        <w:t>includes</w:t>
      </w:r>
      <w:r w:rsidR="00B06E03">
        <w:rPr>
          <w:rFonts w:asciiTheme="majorHAnsi" w:eastAsia="Calibri" w:hAnsiTheme="majorHAnsi" w:cstheme="majorHAnsi"/>
          <w:sz w:val="22"/>
          <w:szCs w:val="22"/>
        </w:rPr>
        <w:t xml:space="preserve"> 11 acres set aside for </w:t>
      </w:r>
      <w:r w:rsidR="00506360">
        <w:rPr>
          <w:rFonts w:asciiTheme="majorHAnsi" w:eastAsia="Calibri" w:hAnsiTheme="majorHAnsi" w:cstheme="majorHAnsi"/>
          <w:sz w:val="22"/>
          <w:szCs w:val="22"/>
        </w:rPr>
        <w:t xml:space="preserve">food production. Agritopia </w:t>
      </w:r>
      <w:r w:rsidR="00CE3ABA">
        <w:rPr>
          <w:rFonts w:asciiTheme="majorHAnsi" w:eastAsia="Calibri" w:hAnsiTheme="majorHAnsi" w:cstheme="majorHAnsi"/>
          <w:sz w:val="22"/>
          <w:szCs w:val="22"/>
        </w:rPr>
        <w:t xml:space="preserve">is zoned as a PAD with the </w:t>
      </w:r>
      <w:r w:rsidR="005E092D">
        <w:rPr>
          <w:rFonts w:asciiTheme="majorHAnsi" w:eastAsia="Calibri" w:hAnsiTheme="majorHAnsi" w:cstheme="majorHAnsi"/>
          <w:sz w:val="22"/>
          <w:szCs w:val="22"/>
        </w:rPr>
        <w:t xml:space="preserve">overall </w:t>
      </w:r>
      <w:r w:rsidR="00640A1C">
        <w:rPr>
          <w:rFonts w:asciiTheme="majorHAnsi" w:eastAsia="Calibri" w:hAnsiTheme="majorHAnsi" w:cstheme="majorHAnsi"/>
          <w:sz w:val="22"/>
          <w:szCs w:val="22"/>
        </w:rPr>
        <w:t>concept of a</w:t>
      </w:r>
      <w:r w:rsidR="00E80384">
        <w:rPr>
          <w:rFonts w:asciiTheme="majorHAnsi" w:eastAsia="Calibri" w:hAnsiTheme="majorHAnsi" w:cstheme="majorHAnsi"/>
          <w:sz w:val="22"/>
          <w:szCs w:val="22"/>
        </w:rPr>
        <w:t>n</w:t>
      </w:r>
      <w:r w:rsidR="00640A1C">
        <w:rPr>
          <w:rFonts w:asciiTheme="majorHAnsi" w:eastAsia="Calibri" w:hAnsiTheme="majorHAnsi" w:cstheme="majorHAnsi"/>
          <w:sz w:val="22"/>
          <w:szCs w:val="22"/>
        </w:rPr>
        <w:t xml:space="preserve"> urban agriculture community. </w:t>
      </w:r>
    </w:p>
    <w:p w14:paraId="7AA42B15" w14:textId="1EB599EB" w:rsidR="00991D28" w:rsidRPr="00991D28" w:rsidRDefault="00991D28" w:rsidP="00D401C3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91D28">
        <w:rPr>
          <w:rFonts w:asciiTheme="majorHAnsi" w:eastAsia="Calibri" w:hAnsiTheme="majorHAnsi" w:cstheme="majorHAnsi"/>
          <w:sz w:val="22"/>
          <w:szCs w:val="22"/>
        </w:rPr>
        <w:t xml:space="preserve">All municipalities and counties can use this zoning tool </w:t>
      </w:r>
      <w:r w:rsidR="00640695">
        <w:rPr>
          <w:rFonts w:asciiTheme="majorHAnsi" w:eastAsia="Calibri" w:hAnsiTheme="majorHAnsi" w:cstheme="majorHAnsi"/>
          <w:sz w:val="22"/>
          <w:szCs w:val="22"/>
        </w:rPr>
        <w:t>for farmland preservation</w:t>
      </w:r>
      <w:r w:rsidRPr="00991D28">
        <w:rPr>
          <w:rFonts w:asciiTheme="majorHAnsi" w:eastAsia="Calibri" w:hAnsiTheme="majorHAnsi" w:cstheme="majorHAnsi"/>
          <w:sz w:val="22"/>
          <w:szCs w:val="22"/>
        </w:rPr>
        <w:t xml:space="preserve">.   </w:t>
      </w:r>
    </w:p>
    <w:p w14:paraId="6F3EBA56" w14:textId="77777777" w:rsidR="00991D28" w:rsidRDefault="00991D28" w:rsidP="00D401C3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3AE250A" w14:textId="77777777" w:rsidR="00B13445" w:rsidRDefault="00B13445" w:rsidP="00D401C3">
      <w:pPr>
        <w:spacing w:after="160"/>
        <w:jc w:val="both"/>
        <w:rPr>
          <w:rFonts w:asciiTheme="majorHAnsi" w:eastAsia="Calibri" w:hAnsiTheme="majorHAnsi" w:cstheme="majorHAnsi"/>
          <w:b/>
          <w:bCs/>
        </w:rPr>
      </w:pPr>
    </w:p>
    <w:p w14:paraId="1509A27E" w14:textId="77777777" w:rsidR="00B13445" w:rsidRDefault="00B13445" w:rsidP="00D646F0">
      <w:pPr>
        <w:spacing w:after="160"/>
        <w:rPr>
          <w:rFonts w:asciiTheme="majorHAnsi" w:eastAsia="Calibri" w:hAnsiTheme="majorHAnsi" w:cstheme="majorHAnsi"/>
          <w:b/>
          <w:bCs/>
        </w:rPr>
      </w:pPr>
    </w:p>
    <w:p w14:paraId="39E86947" w14:textId="51ABB9FE" w:rsidR="00D646F0" w:rsidRPr="002150C2" w:rsidRDefault="00D646F0" w:rsidP="00D646F0">
      <w:pPr>
        <w:spacing w:after="160"/>
        <w:rPr>
          <w:rFonts w:asciiTheme="majorHAnsi" w:eastAsia="Calibri" w:hAnsiTheme="majorHAnsi" w:cstheme="majorHAnsi"/>
          <w:b/>
          <w:bCs/>
        </w:rPr>
      </w:pPr>
      <w:r w:rsidRPr="002150C2">
        <w:rPr>
          <w:rFonts w:asciiTheme="majorHAnsi" w:eastAsia="Calibri" w:hAnsiTheme="majorHAnsi" w:cstheme="majorHAnsi"/>
          <w:b/>
          <w:bCs/>
        </w:rPr>
        <w:lastRenderedPageBreak/>
        <w:t>Transfer of Development Rights</w:t>
      </w:r>
      <w:r w:rsidR="00593AFD">
        <w:rPr>
          <w:rFonts w:asciiTheme="majorHAnsi" w:eastAsia="Calibri" w:hAnsiTheme="majorHAnsi" w:cstheme="majorHAnsi"/>
          <w:b/>
          <w:bCs/>
        </w:rPr>
        <w:t xml:space="preserve"> </w:t>
      </w:r>
      <w:r w:rsidRPr="002150C2">
        <w:rPr>
          <w:rFonts w:asciiTheme="majorHAnsi" w:eastAsia="Calibri" w:hAnsiTheme="majorHAnsi" w:cstheme="majorHAnsi"/>
          <w:b/>
          <w:bCs/>
        </w:rPr>
        <w:t>(TDR)</w:t>
      </w:r>
    </w:p>
    <w:p w14:paraId="17D040D8" w14:textId="2B545192" w:rsidR="00F91839" w:rsidRDefault="00D646F0" w:rsidP="006A1CAD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Municipalities and counties have </w:t>
      </w:r>
      <w:r w:rsidR="002B0F8C">
        <w:rPr>
          <w:rFonts w:asciiTheme="majorHAnsi" w:eastAsia="Calibri" w:hAnsiTheme="majorHAnsi" w:cstheme="majorHAnsi"/>
          <w:sz w:val="22"/>
          <w:szCs w:val="22"/>
        </w:rPr>
        <w:t xml:space="preserve">been granted </w:t>
      </w: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the authority to adopt a TDR </w:t>
      </w:r>
      <w:r w:rsidR="0018737C">
        <w:rPr>
          <w:rFonts w:asciiTheme="majorHAnsi" w:eastAsia="Calibri" w:hAnsiTheme="majorHAnsi" w:cstheme="majorHAnsi"/>
          <w:sz w:val="22"/>
          <w:szCs w:val="22"/>
        </w:rPr>
        <w:t>O</w:t>
      </w:r>
      <w:r w:rsidRPr="00D646F0">
        <w:rPr>
          <w:rFonts w:asciiTheme="majorHAnsi" w:eastAsia="Calibri" w:hAnsiTheme="majorHAnsi" w:cstheme="majorHAnsi"/>
          <w:sz w:val="22"/>
          <w:szCs w:val="22"/>
        </w:rPr>
        <w:t>rdinance and establish a mechanism for tracking development rights.  Th</w:t>
      </w:r>
      <w:r w:rsidR="002E586D">
        <w:rPr>
          <w:rFonts w:asciiTheme="majorHAnsi" w:eastAsia="Calibri" w:hAnsiTheme="majorHAnsi" w:cstheme="majorHAnsi"/>
          <w:sz w:val="22"/>
          <w:szCs w:val="22"/>
        </w:rPr>
        <w:t>e TRD</w:t>
      </w: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DE2C23">
        <w:rPr>
          <w:rFonts w:asciiTheme="majorHAnsi" w:eastAsia="Calibri" w:hAnsiTheme="majorHAnsi" w:cstheme="majorHAnsi"/>
          <w:sz w:val="22"/>
          <w:szCs w:val="22"/>
        </w:rPr>
        <w:t xml:space="preserve">tool </w:t>
      </w:r>
      <w:r w:rsidRPr="00D646F0">
        <w:rPr>
          <w:rFonts w:asciiTheme="majorHAnsi" w:eastAsia="Calibri" w:hAnsiTheme="majorHAnsi" w:cstheme="majorHAnsi"/>
          <w:sz w:val="22"/>
          <w:szCs w:val="22"/>
        </w:rPr>
        <w:t>differs from the PAD</w:t>
      </w:r>
      <w:r w:rsidR="00990E8C">
        <w:rPr>
          <w:rFonts w:asciiTheme="majorHAnsi" w:eastAsia="Calibri" w:hAnsiTheme="majorHAnsi" w:cstheme="majorHAnsi"/>
          <w:sz w:val="22"/>
          <w:szCs w:val="22"/>
        </w:rPr>
        <w:t>/</w:t>
      </w: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PUD </w:t>
      </w:r>
      <w:r w:rsidR="00DE2C23">
        <w:rPr>
          <w:rFonts w:asciiTheme="majorHAnsi" w:eastAsia="Calibri" w:hAnsiTheme="majorHAnsi" w:cstheme="majorHAnsi"/>
          <w:sz w:val="22"/>
          <w:szCs w:val="22"/>
        </w:rPr>
        <w:t xml:space="preserve">zoning tool </w:t>
      </w:r>
      <w:r w:rsidR="0018737C">
        <w:rPr>
          <w:rFonts w:asciiTheme="majorHAnsi" w:eastAsia="Calibri" w:hAnsiTheme="majorHAnsi" w:cstheme="majorHAnsi"/>
          <w:sz w:val="22"/>
          <w:szCs w:val="22"/>
        </w:rPr>
        <w:t>in that</w:t>
      </w: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C30F56">
        <w:rPr>
          <w:rFonts w:asciiTheme="majorHAnsi" w:eastAsia="Calibri" w:hAnsiTheme="majorHAnsi" w:cstheme="majorHAnsi"/>
          <w:sz w:val="22"/>
          <w:szCs w:val="22"/>
        </w:rPr>
        <w:t xml:space="preserve">all or a portion of </w:t>
      </w: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development rights can be transferred </w:t>
      </w:r>
      <w:r w:rsidR="00C51D41">
        <w:rPr>
          <w:rFonts w:asciiTheme="majorHAnsi" w:eastAsia="Calibri" w:hAnsiTheme="majorHAnsi" w:cstheme="majorHAnsi"/>
          <w:sz w:val="22"/>
          <w:szCs w:val="22"/>
        </w:rPr>
        <w:t xml:space="preserve">from </w:t>
      </w:r>
      <w:r w:rsidR="00AD773C">
        <w:rPr>
          <w:rFonts w:asciiTheme="majorHAnsi" w:eastAsia="Calibri" w:hAnsiTheme="majorHAnsi" w:cstheme="majorHAnsi"/>
          <w:sz w:val="22"/>
          <w:szCs w:val="22"/>
        </w:rPr>
        <w:t xml:space="preserve">a sending </w:t>
      </w:r>
      <w:r w:rsidR="00CB6299">
        <w:rPr>
          <w:rFonts w:asciiTheme="majorHAnsi" w:eastAsia="Calibri" w:hAnsiTheme="majorHAnsi" w:cstheme="majorHAnsi"/>
          <w:sz w:val="22"/>
          <w:szCs w:val="22"/>
        </w:rPr>
        <w:t xml:space="preserve">parcel </w:t>
      </w:r>
      <w:r w:rsidR="00A735C7">
        <w:rPr>
          <w:rFonts w:asciiTheme="majorHAnsi" w:eastAsia="Calibri" w:hAnsiTheme="majorHAnsi" w:cstheme="majorHAnsi"/>
          <w:sz w:val="22"/>
          <w:szCs w:val="22"/>
        </w:rPr>
        <w:t>to a receiving parcel</w:t>
      </w:r>
      <w:r w:rsidR="00EF237A">
        <w:rPr>
          <w:rFonts w:asciiTheme="majorHAnsi" w:eastAsia="Calibri" w:hAnsiTheme="majorHAnsi" w:cstheme="majorHAnsi"/>
          <w:sz w:val="22"/>
          <w:szCs w:val="22"/>
        </w:rPr>
        <w:t xml:space="preserve"> or parcels</w:t>
      </w:r>
      <w:r w:rsidR="005F386B">
        <w:rPr>
          <w:rFonts w:asciiTheme="majorHAnsi" w:eastAsia="Calibri" w:hAnsiTheme="majorHAnsi" w:cstheme="majorHAnsi"/>
          <w:sz w:val="22"/>
          <w:szCs w:val="22"/>
        </w:rPr>
        <w:t>. The sending and receiving parcels do not need to be adjacent</w:t>
      </w:r>
      <w:r w:rsidR="00C304C2">
        <w:rPr>
          <w:rFonts w:asciiTheme="majorHAnsi" w:eastAsia="Calibri" w:hAnsiTheme="majorHAnsi" w:cstheme="majorHAnsi"/>
          <w:sz w:val="22"/>
          <w:szCs w:val="22"/>
        </w:rPr>
        <w:t xml:space="preserve"> but must </w:t>
      </w:r>
      <w:proofErr w:type="gramStart"/>
      <w:r w:rsidR="00C304C2">
        <w:rPr>
          <w:rFonts w:asciiTheme="majorHAnsi" w:eastAsia="Calibri" w:hAnsiTheme="majorHAnsi" w:cstheme="majorHAnsi"/>
          <w:sz w:val="22"/>
          <w:szCs w:val="22"/>
        </w:rPr>
        <w:t>be located in</w:t>
      </w:r>
      <w:proofErr w:type="gramEnd"/>
      <w:r w:rsidR="00C304C2">
        <w:rPr>
          <w:rFonts w:asciiTheme="majorHAnsi" w:eastAsia="Calibri" w:hAnsiTheme="majorHAnsi" w:cstheme="majorHAnsi"/>
          <w:sz w:val="22"/>
          <w:szCs w:val="22"/>
        </w:rPr>
        <w:t xml:space="preserve"> the same jurisdiction</w:t>
      </w:r>
      <w:r w:rsidR="00F91839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53BF2C93" w14:textId="48D967F6" w:rsidR="00D646F0" w:rsidRPr="00D646F0" w:rsidRDefault="00F91839" w:rsidP="006A1CAD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T</w:t>
      </w:r>
      <w:r w:rsidR="00EE5E78">
        <w:rPr>
          <w:rFonts w:asciiTheme="majorHAnsi" w:eastAsia="Calibri" w:hAnsiTheme="majorHAnsi" w:cstheme="majorHAnsi"/>
          <w:sz w:val="22"/>
          <w:szCs w:val="22"/>
        </w:rPr>
        <w:t xml:space="preserve">he jurisdiction </w:t>
      </w:r>
      <w:r w:rsidR="005F1D19">
        <w:rPr>
          <w:rFonts w:asciiTheme="majorHAnsi" w:eastAsia="Calibri" w:hAnsiTheme="majorHAnsi" w:cstheme="majorHAnsi"/>
          <w:sz w:val="22"/>
          <w:szCs w:val="22"/>
        </w:rPr>
        <w:t>adopting the TDR Ordinance can identify sending and receiving areas</w:t>
      </w:r>
      <w:r w:rsidR="00547815">
        <w:rPr>
          <w:rFonts w:asciiTheme="majorHAnsi" w:eastAsia="Calibri" w:hAnsiTheme="majorHAnsi" w:cstheme="majorHAnsi"/>
          <w:sz w:val="22"/>
          <w:szCs w:val="22"/>
        </w:rPr>
        <w:t xml:space="preserve"> anywhere with</w:t>
      </w:r>
      <w:r w:rsidR="004B4C37">
        <w:rPr>
          <w:rFonts w:asciiTheme="majorHAnsi" w:eastAsia="Calibri" w:hAnsiTheme="majorHAnsi" w:cstheme="majorHAnsi"/>
          <w:sz w:val="22"/>
          <w:szCs w:val="22"/>
        </w:rPr>
        <w:t>in</w:t>
      </w:r>
      <w:r w:rsidR="00547815">
        <w:rPr>
          <w:rFonts w:asciiTheme="majorHAnsi" w:eastAsia="Calibri" w:hAnsiTheme="majorHAnsi" w:cstheme="majorHAnsi"/>
          <w:sz w:val="22"/>
          <w:szCs w:val="22"/>
        </w:rPr>
        <w:t xml:space="preserve"> the boundaries of the jurisdiction</w:t>
      </w:r>
      <w:r w:rsidR="00DD14AD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152668">
        <w:rPr>
          <w:rFonts w:asciiTheme="majorHAnsi" w:eastAsia="Calibri" w:hAnsiTheme="majorHAnsi" w:cstheme="majorHAnsi"/>
          <w:sz w:val="22"/>
          <w:szCs w:val="22"/>
        </w:rPr>
        <w:t>When a</w:t>
      </w:r>
      <w:r w:rsidR="00CD3A9C">
        <w:rPr>
          <w:rFonts w:asciiTheme="majorHAnsi" w:eastAsia="Calibri" w:hAnsiTheme="majorHAnsi" w:cstheme="majorHAnsi"/>
          <w:sz w:val="22"/>
          <w:szCs w:val="22"/>
        </w:rPr>
        <w:t xml:space="preserve"> TRD </w:t>
      </w:r>
      <w:r w:rsidR="00DC5B08">
        <w:rPr>
          <w:rFonts w:asciiTheme="majorHAnsi" w:eastAsia="Calibri" w:hAnsiTheme="majorHAnsi" w:cstheme="majorHAnsi"/>
          <w:sz w:val="22"/>
          <w:szCs w:val="22"/>
        </w:rPr>
        <w:t>O</w:t>
      </w:r>
      <w:r w:rsidR="00CD3A9C">
        <w:rPr>
          <w:rFonts w:asciiTheme="majorHAnsi" w:eastAsia="Calibri" w:hAnsiTheme="majorHAnsi" w:cstheme="majorHAnsi"/>
          <w:sz w:val="22"/>
          <w:szCs w:val="22"/>
        </w:rPr>
        <w:t xml:space="preserve">rdinance </w:t>
      </w:r>
      <w:r w:rsidR="00152668">
        <w:rPr>
          <w:rFonts w:asciiTheme="majorHAnsi" w:eastAsia="Calibri" w:hAnsiTheme="majorHAnsi" w:cstheme="majorHAnsi"/>
          <w:sz w:val="22"/>
          <w:szCs w:val="22"/>
        </w:rPr>
        <w:t>is adopted</w:t>
      </w:r>
      <w:r w:rsidR="00D11F85">
        <w:rPr>
          <w:rFonts w:asciiTheme="majorHAnsi" w:eastAsia="Calibri" w:hAnsiTheme="majorHAnsi" w:cstheme="majorHAnsi"/>
          <w:sz w:val="22"/>
          <w:szCs w:val="22"/>
        </w:rPr>
        <w:t>, the jurisdiction must</w:t>
      </w:r>
      <w:r w:rsidR="00CD3A9C">
        <w:rPr>
          <w:rFonts w:asciiTheme="majorHAnsi" w:eastAsia="Calibri" w:hAnsiTheme="majorHAnsi" w:cstheme="majorHAnsi"/>
          <w:sz w:val="22"/>
          <w:szCs w:val="22"/>
        </w:rPr>
        <w:t xml:space="preserve"> establish a system for tracking</w:t>
      </w:r>
      <w:r w:rsidR="00312169">
        <w:rPr>
          <w:rFonts w:asciiTheme="majorHAnsi" w:eastAsia="Calibri" w:hAnsiTheme="majorHAnsi" w:cstheme="majorHAnsi"/>
          <w:sz w:val="22"/>
          <w:szCs w:val="22"/>
        </w:rPr>
        <w:t xml:space="preserve"> the development rights.</w:t>
      </w:r>
      <w:r w:rsidR="00D646F0" w:rsidRPr="00D646F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DE32CCC" w14:textId="77777777" w:rsidR="00331857" w:rsidRDefault="00D646F0" w:rsidP="006A1CAD">
      <w:pPr>
        <w:spacing w:after="1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646F0">
        <w:rPr>
          <w:rFonts w:asciiTheme="majorHAnsi" w:eastAsia="Calibri" w:hAnsiTheme="majorHAnsi" w:cstheme="majorHAnsi"/>
          <w:sz w:val="22"/>
          <w:szCs w:val="22"/>
        </w:rPr>
        <w:t xml:space="preserve">Pima County is the only </w:t>
      </w:r>
      <w:r w:rsidR="004E4F25">
        <w:rPr>
          <w:rFonts w:asciiTheme="majorHAnsi" w:eastAsia="Calibri" w:hAnsiTheme="majorHAnsi" w:cstheme="majorHAnsi"/>
          <w:sz w:val="22"/>
          <w:szCs w:val="22"/>
        </w:rPr>
        <w:t>jurisdiction</w:t>
      </w:r>
      <w:r w:rsidR="006425D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12169">
        <w:rPr>
          <w:rFonts w:asciiTheme="majorHAnsi" w:eastAsia="Calibri" w:hAnsiTheme="majorHAnsi" w:cstheme="majorHAnsi"/>
          <w:sz w:val="22"/>
          <w:szCs w:val="22"/>
        </w:rPr>
        <w:t xml:space="preserve">in Arizona </w:t>
      </w:r>
      <w:r w:rsidRPr="00D646F0">
        <w:rPr>
          <w:rFonts w:asciiTheme="majorHAnsi" w:eastAsia="Calibri" w:hAnsiTheme="majorHAnsi" w:cstheme="majorHAnsi"/>
          <w:sz w:val="22"/>
          <w:szCs w:val="22"/>
        </w:rPr>
        <w:t>that has adopted a TDR Ordinance.</w:t>
      </w:r>
      <w:r w:rsidR="006425D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61A51">
        <w:rPr>
          <w:rFonts w:asciiTheme="majorHAnsi" w:eastAsia="Calibri" w:hAnsiTheme="majorHAnsi" w:cstheme="majorHAnsi"/>
          <w:sz w:val="22"/>
          <w:szCs w:val="22"/>
        </w:rPr>
        <w:t>The County has used</w:t>
      </w:r>
      <w:r w:rsidR="00F85879">
        <w:rPr>
          <w:rFonts w:asciiTheme="majorHAnsi" w:eastAsia="Calibri" w:hAnsiTheme="majorHAnsi" w:cstheme="majorHAnsi"/>
          <w:sz w:val="22"/>
          <w:szCs w:val="22"/>
        </w:rPr>
        <w:t xml:space="preserve"> the </w:t>
      </w:r>
      <w:r w:rsidR="00661A51" w:rsidRPr="00661A51">
        <w:rPr>
          <w:rFonts w:asciiTheme="majorHAnsi" w:eastAsia="Calibri" w:hAnsiTheme="majorHAnsi" w:cstheme="majorHAnsi"/>
          <w:sz w:val="22"/>
          <w:szCs w:val="22"/>
        </w:rPr>
        <w:t>transfer of development rights as a tool t</w:t>
      </w:r>
      <w:r w:rsidR="00100655">
        <w:rPr>
          <w:rFonts w:asciiTheme="majorHAnsi" w:eastAsia="Calibri" w:hAnsiTheme="majorHAnsi" w:cstheme="majorHAnsi"/>
          <w:sz w:val="22"/>
          <w:szCs w:val="22"/>
        </w:rPr>
        <w:t>o</w:t>
      </w:r>
      <w:r w:rsidR="00661A51" w:rsidRPr="00661A51">
        <w:rPr>
          <w:rFonts w:asciiTheme="majorHAnsi" w:eastAsia="Calibri" w:hAnsiTheme="majorHAnsi" w:cstheme="majorHAnsi"/>
          <w:sz w:val="22"/>
          <w:szCs w:val="22"/>
        </w:rPr>
        <w:t xml:space="preserve"> help </w:t>
      </w:r>
      <w:r w:rsidR="007C0C2D">
        <w:rPr>
          <w:rFonts w:asciiTheme="majorHAnsi" w:eastAsia="Calibri" w:hAnsiTheme="majorHAnsi" w:cstheme="majorHAnsi"/>
          <w:sz w:val="22"/>
          <w:szCs w:val="22"/>
        </w:rPr>
        <w:t>limit</w:t>
      </w:r>
      <w:r w:rsidR="00661A51" w:rsidRPr="00661A51">
        <w:rPr>
          <w:rFonts w:asciiTheme="majorHAnsi" w:eastAsia="Calibri" w:hAnsiTheme="majorHAnsi" w:cstheme="majorHAnsi"/>
          <w:sz w:val="22"/>
          <w:szCs w:val="22"/>
        </w:rPr>
        <w:t xml:space="preserve"> development in areas the county has targeted for conservation</w:t>
      </w:r>
      <w:r w:rsidR="000077D4">
        <w:rPr>
          <w:rFonts w:asciiTheme="majorHAnsi" w:eastAsia="Calibri" w:hAnsiTheme="majorHAnsi" w:cstheme="majorHAnsi"/>
          <w:sz w:val="22"/>
          <w:szCs w:val="22"/>
        </w:rPr>
        <w:t xml:space="preserve"> and “transfer” the development rights to areas in the county designated for future growth</w:t>
      </w:r>
      <w:r w:rsidR="00661A51" w:rsidRPr="00661A51">
        <w:rPr>
          <w:rFonts w:asciiTheme="majorHAnsi" w:eastAsia="Calibri" w:hAnsiTheme="majorHAnsi" w:cstheme="majorHAnsi"/>
          <w:sz w:val="22"/>
          <w:szCs w:val="22"/>
        </w:rPr>
        <w:t>.</w:t>
      </w:r>
      <w:r w:rsidR="0035763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681DDF0A" w14:textId="58959788" w:rsidR="00D646F0" w:rsidRPr="00D646F0" w:rsidRDefault="00357634" w:rsidP="00B27826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The </w:t>
      </w:r>
      <w:r w:rsidRPr="00357634">
        <w:rPr>
          <w:rFonts w:asciiTheme="majorHAnsi" w:eastAsia="Calibri" w:hAnsiTheme="majorHAnsi" w:cstheme="majorHAnsi"/>
          <w:sz w:val="22"/>
          <w:szCs w:val="22"/>
        </w:rPr>
        <w:t>ordinance allow</w:t>
      </w:r>
      <w:r w:rsidR="00331857">
        <w:rPr>
          <w:rFonts w:asciiTheme="majorHAnsi" w:eastAsia="Calibri" w:hAnsiTheme="majorHAnsi" w:cstheme="majorHAnsi"/>
          <w:sz w:val="22"/>
          <w:szCs w:val="22"/>
        </w:rPr>
        <w:t>s</w:t>
      </w:r>
      <w:r w:rsidR="005A72B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B124D8">
        <w:rPr>
          <w:rFonts w:asciiTheme="majorHAnsi" w:eastAsia="Calibri" w:hAnsiTheme="majorHAnsi" w:cstheme="majorHAnsi"/>
          <w:sz w:val="22"/>
          <w:szCs w:val="22"/>
        </w:rPr>
        <w:t xml:space="preserve">property owners </w:t>
      </w:r>
      <w:r w:rsidRPr="00357634">
        <w:rPr>
          <w:rFonts w:asciiTheme="majorHAnsi" w:eastAsia="Calibri" w:hAnsiTheme="majorHAnsi" w:cstheme="majorHAnsi"/>
          <w:sz w:val="22"/>
          <w:szCs w:val="22"/>
        </w:rPr>
        <w:t>to swap development rights for cash.</w:t>
      </w:r>
      <w:r w:rsidR="00B014F8">
        <w:rPr>
          <w:rFonts w:asciiTheme="majorHAnsi" w:eastAsia="Calibri" w:hAnsiTheme="majorHAnsi" w:cstheme="majorHAnsi"/>
          <w:sz w:val="22"/>
          <w:szCs w:val="22"/>
        </w:rPr>
        <w:t xml:space="preserve"> Once the development rights</w:t>
      </w:r>
      <w:r w:rsidR="00C733BC">
        <w:rPr>
          <w:rFonts w:asciiTheme="majorHAnsi" w:eastAsia="Calibri" w:hAnsiTheme="majorHAnsi" w:cstheme="majorHAnsi"/>
          <w:sz w:val="22"/>
          <w:szCs w:val="22"/>
        </w:rPr>
        <w:t xml:space="preserve"> have been purchased, depending on what exists on the property</w:t>
      </w:r>
      <w:r w:rsidR="0065745A">
        <w:rPr>
          <w:rFonts w:asciiTheme="majorHAnsi" w:eastAsia="Calibri" w:hAnsiTheme="majorHAnsi" w:cstheme="majorHAnsi"/>
          <w:sz w:val="22"/>
          <w:szCs w:val="22"/>
        </w:rPr>
        <w:t xml:space="preserve"> and if the property owner is willing, the county acquired</w:t>
      </w:r>
      <w:r w:rsidR="005F6FB7">
        <w:rPr>
          <w:rFonts w:asciiTheme="majorHAnsi" w:eastAsia="Calibri" w:hAnsiTheme="majorHAnsi" w:cstheme="majorHAnsi"/>
          <w:sz w:val="22"/>
          <w:szCs w:val="22"/>
        </w:rPr>
        <w:t xml:space="preserve"> the parcel at the reduced price and the land became a park of the conservation </w:t>
      </w:r>
      <w:r w:rsidR="005333F6">
        <w:rPr>
          <w:rFonts w:asciiTheme="majorHAnsi" w:eastAsia="Calibri" w:hAnsiTheme="majorHAnsi" w:cstheme="majorHAnsi"/>
          <w:sz w:val="22"/>
          <w:szCs w:val="22"/>
        </w:rPr>
        <w:t>area.</w:t>
      </w:r>
    </w:p>
    <w:p w14:paraId="03E402B6" w14:textId="35273304" w:rsidR="00780A58" w:rsidRDefault="00780A58" w:rsidP="005A3A1D">
      <w:pPr>
        <w:rPr>
          <w:rFonts w:asciiTheme="majorHAnsi" w:hAnsiTheme="majorHAnsi" w:cstheme="majorHAnsi"/>
          <w:sz w:val="22"/>
          <w:szCs w:val="22"/>
        </w:rPr>
      </w:pPr>
    </w:p>
    <w:p w14:paraId="3BDCF81F" w14:textId="19A65988" w:rsidR="00BE350C" w:rsidRPr="00F75F4B" w:rsidRDefault="00E558B2" w:rsidP="005A3A1D">
      <w:pPr>
        <w:rPr>
          <w:rFonts w:asciiTheme="majorHAnsi" w:hAnsiTheme="majorHAnsi" w:cstheme="majorHAnsi"/>
          <w:b/>
          <w:bCs/>
        </w:rPr>
      </w:pPr>
      <w:r w:rsidRPr="00F75F4B">
        <w:rPr>
          <w:rFonts w:asciiTheme="majorHAnsi" w:hAnsiTheme="majorHAnsi" w:cstheme="majorHAnsi"/>
          <w:b/>
          <w:bCs/>
        </w:rPr>
        <w:t>Zoning for Urban Agriculture</w:t>
      </w:r>
    </w:p>
    <w:p w14:paraId="1F186D3B" w14:textId="07232C28" w:rsidR="00BE350C" w:rsidRDefault="00BE350C" w:rsidP="005A3A1D">
      <w:pPr>
        <w:rPr>
          <w:rFonts w:asciiTheme="majorHAnsi" w:hAnsiTheme="majorHAnsi" w:cstheme="majorHAnsi"/>
          <w:sz w:val="22"/>
          <w:szCs w:val="22"/>
        </w:rPr>
      </w:pPr>
    </w:p>
    <w:p w14:paraId="484E1D80" w14:textId="77777777" w:rsidR="001662D3" w:rsidRDefault="005B5DC7" w:rsidP="006A1CAD">
      <w:pPr>
        <w:jc w:val="both"/>
        <w:rPr>
          <w:rFonts w:asciiTheme="majorHAnsi" w:hAnsiTheme="majorHAnsi" w:cstheme="majorHAnsi"/>
          <w:sz w:val="22"/>
          <w:szCs w:val="22"/>
        </w:rPr>
      </w:pPr>
      <w:r w:rsidRPr="005B5DC7">
        <w:rPr>
          <w:rFonts w:asciiTheme="majorHAnsi" w:hAnsiTheme="majorHAnsi" w:cstheme="majorHAnsi"/>
          <w:sz w:val="22"/>
          <w:szCs w:val="22"/>
        </w:rPr>
        <w:t>As currently written, zoning codes frequently restrict or prohibit agricultural activities, especially in residentially</w:t>
      </w:r>
      <w:r w:rsidR="000404C8">
        <w:rPr>
          <w:rFonts w:asciiTheme="majorHAnsi" w:hAnsiTheme="majorHAnsi" w:cstheme="majorHAnsi"/>
          <w:sz w:val="22"/>
          <w:szCs w:val="22"/>
        </w:rPr>
        <w:t xml:space="preserve"> </w:t>
      </w:r>
      <w:r w:rsidRPr="005B5DC7">
        <w:rPr>
          <w:rFonts w:asciiTheme="majorHAnsi" w:hAnsiTheme="majorHAnsi" w:cstheme="majorHAnsi"/>
          <w:sz w:val="22"/>
          <w:szCs w:val="22"/>
        </w:rPr>
        <w:t>zoned areas. Updating zoning codes to reduce restrictions on agricultural uses and provide guidance on proper use</w:t>
      </w:r>
      <w:r w:rsidR="00A6275A">
        <w:rPr>
          <w:rFonts w:asciiTheme="majorHAnsi" w:hAnsiTheme="majorHAnsi" w:cstheme="majorHAnsi"/>
          <w:sz w:val="22"/>
          <w:szCs w:val="22"/>
        </w:rPr>
        <w:t xml:space="preserve"> </w:t>
      </w:r>
      <w:r w:rsidRPr="005B5DC7">
        <w:rPr>
          <w:rFonts w:asciiTheme="majorHAnsi" w:hAnsiTheme="majorHAnsi" w:cstheme="majorHAnsi"/>
          <w:sz w:val="22"/>
          <w:szCs w:val="22"/>
        </w:rPr>
        <w:t xml:space="preserve">has the potential to increase residents’ access to healthy food in the area. </w:t>
      </w:r>
    </w:p>
    <w:p w14:paraId="3072CF68" w14:textId="77777777" w:rsidR="00A94747" w:rsidRDefault="00A94747" w:rsidP="006A1C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61A517" w14:textId="076C6DD8" w:rsidR="00BE350C" w:rsidRDefault="005B5DC7" w:rsidP="006A1CAD">
      <w:pPr>
        <w:jc w:val="both"/>
        <w:rPr>
          <w:rFonts w:asciiTheme="majorHAnsi" w:hAnsiTheme="majorHAnsi" w:cstheme="majorHAnsi"/>
          <w:sz w:val="22"/>
          <w:szCs w:val="22"/>
        </w:rPr>
      </w:pPr>
      <w:r w:rsidRPr="005B5DC7">
        <w:rPr>
          <w:rFonts w:asciiTheme="majorHAnsi" w:hAnsiTheme="majorHAnsi" w:cstheme="majorHAnsi"/>
          <w:sz w:val="22"/>
          <w:szCs w:val="22"/>
        </w:rPr>
        <w:t>Allowing residents to grow their own food or</w:t>
      </w:r>
      <w:r w:rsidR="000404C8">
        <w:rPr>
          <w:rFonts w:asciiTheme="majorHAnsi" w:hAnsiTheme="majorHAnsi" w:cstheme="majorHAnsi"/>
          <w:sz w:val="22"/>
          <w:szCs w:val="22"/>
        </w:rPr>
        <w:t xml:space="preserve"> </w:t>
      </w:r>
      <w:r w:rsidRPr="005B5DC7">
        <w:rPr>
          <w:rFonts w:asciiTheme="majorHAnsi" w:hAnsiTheme="majorHAnsi" w:cstheme="majorHAnsi"/>
          <w:sz w:val="22"/>
          <w:szCs w:val="22"/>
        </w:rPr>
        <w:t>encouraging small growers to produce food in food-insecure areas can increase access to healthy food. By ensuring that</w:t>
      </w:r>
      <w:r w:rsidR="000404C8">
        <w:rPr>
          <w:rFonts w:asciiTheme="majorHAnsi" w:hAnsiTheme="majorHAnsi" w:cstheme="majorHAnsi"/>
          <w:sz w:val="22"/>
          <w:szCs w:val="22"/>
        </w:rPr>
        <w:t xml:space="preserve"> </w:t>
      </w:r>
      <w:r w:rsidRPr="005B5DC7">
        <w:rPr>
          <w:rFonts w:asciiTheme="majorHAnsi" w:hAnsiTheme="majorHAnsi" w:cstheme="majorHAnsi"/>
          <w:sz w:val="22"/>
          <w:szCs w:val="22"/>
        </w:rPr>
        <w:t xml:space="preserve">food production is properly regulated and managed, local </w:t>
      </w:r>
      <w:r w:rsidR="00A6275A">
        <w:rPr>
          <w:rFonts w:asciiTheme="majorHAnsi" w:hAnsiTheme="majorHAnsi" w:cstheme="majorHAnsi"/>
          <w:sz w:val="22"/>
          <w:szCs w:val="22"/>
        </w:rPr>
        <w:t>g</w:t>
      </w:r>
      <w:r w:rsidRPr="005B5DC7">
        <w:rPr>
          <w:rFonts w:asciiTheme="majorHAnsi" w:hAnsiTheme="majorHAnsi" w:cstheme="majorHAnsi"/>
          <w:sz w:val="22"/>
          <w:szCs w:val="22"/>
        </w:rPr>
        <w:t>overnments can create a mixed-use land pattern that incentivizes</w:t>
      </w:r>
      <w:r w:rsidR="00A6275A">
        <w:rPr>
          <w:rFonts w:asciiTheme="majorHAnsi" w:hAnsiTheme="majorHAnsi" w:cstheme="majorHAnsi"/>
          <w:sz w:val="22"/>
          <w:szCs w:val="22"/>
        </w:rPr>
        <w:t xml:space="preserve"> </w:t>
      </w:r>
      <w:r w:rsidRPr="005B5DC7">
        <w:rPr>
          <w:rFonts w:asciiTheme="majorHAnsi" w:hAnsiTheme="majorHAnsi" w:cstheme="majorHAnsi"/>
          <w:sz w:val="22"/>
          <w:szCs w:val="22"/>
        </w:rPr>
        <w:t>healthy food production in all zones while ensuring community concerns and quality of life issues are addressed.</w:t>
      </w:r>
    </w:p>
    <w:p w14:paraId="630A1C18" w14:textId="4FDC4E11" w:rsidR="00835383" w:rsidRDefault="00E9660E" w:rsidP="00E9660E">
      <w:pPr>
        <w:jc w:val="both"/>
        <w:rPr>
          <w:rFonts w:asciiTheme="majorHAnsi" w:hAnsiTheme="majorHAnsi" w:cstheme="majorHAnsi"/>
          <w:sz w:val="22"/>
          <w:szCs w:val="22"/>
        </w:rPr>
      </w:pPr>
      <w:r w:rsidRPr="00E9660E">
        <w:rPr>
          <w:rFonts w:asciiTheme="majorHAnsi" w:hAnsiTheme="majorHAnsi" w:cstheme="majorHAnsi"/>
          <w:sz w:val="22"/>
          <w:szCs w:val="22"/>
        </w:rPr>
        <w:t xml:space="preserve">A crucial step in increasing food access and urban agriculture activities is to remove </w:t>
      </w:r>
      <w:r w:rsidR="00BA16AA">
        <w:rPr>
          <w:rFonts w:asciiTheme="majorHAnsi" w:hAnsiTheme="majorHAnsi" w:cstheme="majorHAnsi"/>
          <w:sz w:val="22"/>
          <w:szCs w:val="22"/>
        </w:rPr>
        <w:t>regulat</w:t>
      </w:r>
      <w:r w:rsidR="00DA5AF4">
        <w:rPr>
          <w:rFonts w:asciiTheme="majorHAnsi" w:hAnsiTheme="majorHAnsi" w:cstheme="majorHAnsi"/>
          <w:sz w:val="22"/>
          <w:szCs w:val="22"/>
        </w:rPr>
        <w:t xml:space="preserve">ory </w:t>
      </w:r>
      <w:r w:rsidRPr="00E9660E">
        <w:rPr>
          <w:rFonts w:asciiTheme="majorHAnsi" w:hAnsiTheme="majorHAnsi" w:cstheme="majorHAnsi"/>
          <w:sz w:val="22"/>
          <w:szCs w:val="22"/>
        </w:rPr>
        <w:t>barriers that exist in the</w:t>
      </w:r>
      <w:r w:rsidR="00947C00">
        <w:rPr>
          <w:rFonts w:asciiTheme="majorHAnsi" w:hAnsiTheme="majorHAnsi" w:cstheme="majorHAnsi"/>
          <w:sz w:val="22"/>
          <w:szCs w:val="22"/>
        </w:rPr>
        <w:t xml:space="preserve"> </w:t>
      </w:r>
      <w:r w:rsidRPr="00E9660E">
        <w:rPr>
          <w:rFonts w:asciiTheme="majorHAnsi" w:hAnsiTheme="majorHAnsi" w:cstheme="majorHAnsi"/>
          <w:sz w:val="22"/>
          <w:szCs w:val="22"/>
        </w:rPr>
        <w:t>current zoning code. In addition, cities should consider enabling language to confirm and memorialize which urban agricultural</w:t>
      </w:r>
      <w:r w:rsidR="00947C00">
        <w:rPr>
          <w:rFonts w:asciiTheme="majorHAnsi" w:hAnsiTheme="majorHAnsi" w:cstheme="majorHAnsi"/>
          <w:sz w:val="22"/>
          <w:szCs w:val="22"/>
        </w:rPr>
        <w:t xml:space="preserve"> </w:t>
      </w:r>
      <w:r w:rsidRPr="00E9660E">
        <w:rPr>
          <w:rFonts w:asciiTheme="majorHAnsi" w:hAnsiTheme="majorHAnsi" w:cstheme="majorHAnsi"/>
          <w:sz w:val="22"/>
          <w:szCs w:val="22"/>
        </w:rPr>
        <w:t xml:space="preserve">activities are allowed and </w:t>
      </w:r>
      <w:r w:rsidR="000C7C97">
        <w:rPr>
          <w:rFonts w:asciiTheme="majorHAnsi" w:hAnsiTheme="majorHAnsi" w:cstheme="majorHAnsi"/>
          <w:sz w:val="22"/>
          <w:szCs w:val="22"/>
        </w:rPr>
        <w:t>in which zoning districts</w:t>
      </w:r>
      <w:r w:rsidRPr="00E9660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EDA4329" w14:textId="77777777" w:rsidR="00835383" w:rsidRDefault="00835383" w:rsidP="00E966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0E4BEC" w14:textId="149386DD" w:rsidR="00331F7F" w:rsidRDefault="00E9660E" w:rsidP="00E9660E">
      <w:pPr>
        <w:jc w:val="both"/>
        <w:rPr>
          <w:rFonts w:asciiTheme="majorHAnsi" w:hAnsiTheme="majorHAnsi" w:cstheme="majorHAnsi"/>
          <w:sz w:val="22"/>
          <w:szCs w:val="22"/>
        </w:rPr>
      </w:pPr>
      <w:r w:rsidRPr="00E9660E">
        <w:rPr>
          <w:rFonts w:asciiTheme="majorHAnsi" w:hAnsiTheme="majorHAnsi" w:cstheme="majorHAnsi"/>
          <w:sz w:val="22"/>
          <w:szCs w:val="22"/>
        </w:rPr>
        <w:t>While zoning codes are often not written to specifically prohibit urban agricultural</w:t>
      </w:r>
      <w:r w:rsidR="000F77FE">
        <w:rPr>
          <w:rFonts w:asciiTheme="majorHAnsi" w:hAnsiTheme="majorHAnsi" w:cstheme="majorHAnsi"/>
          <w:sz w:val="22"/>
          <w:szCs w:val="22"/>
        </w:rPr>
        <w:t xml:space="preserve"> </w:t>
      </w:r>
      <w:r w:rsidRPr="00E9660E">
        <w:rPr>
          <w:rFonts w:asciiTheme="majorHAnsi" w:hAnsiTheme="majorHAnsi" w:cstheme="majorHAnsi"/>
          <w:sz w:val="22"/>
          <w:szCs w:val="22"/>
        </w:rPr>
        <w:t>activities, the absence of express permission may deter potential growers. Cities may</w:t>
      </w:r>
      <w:r w:rsidR="000F77FE">
        <w:rPr>
          <w:rFonts w:asciiTheme="majorHAnsi" w:hAnsiTheme="majorHAnsi" w:cstheme="majorHAnsi"/>
          <w:sz w:val="22"/>
          <w:szCs w:val="22"/>
        </w:rPr>
        <w:t xml:space="preserve"> </w:t>
      </w:r>
      <w:r w:rsidRPr="00E9660E">
        <w:rPr>
          <w:rFonts w:asciiTheme="majorHAnsi" w:hAnsiTheme="majorHAnsi" w:cstheme="majorHAnsi"/>
          <w:sz w:val="22"/>
          <w:szCs w:val="22"/>
        </w:rPr>
        <w:t>make these changes through zoning code amendments</w:t>
      </w:r>
      <w:r w:rsidR="00835383">
        <w:rPr>
          <w:rFonts w:asciiTheme="majorHAnsi" w:hAnsiTheme="majorHAnsi" w:cstheme="majorHAnsi"/>
          <w:sz w:val="22"/>
          <w:szCs w:val="22"/>
        </w:rPr>
        <w:t xml:space="preserve"> </w:t>
      </w:r>
      <w:r w:rsidRPr="00E9660E">
        <w:rPr>
          <w:rFonts w:asciiTheme="majorHAnsi" w:hAnsiTheme="majorHAnsi" w:cstheme="majorHAnsi"/>
          <w:sz w:val="22"/>
          <w:szCs w:val="22"/>
        </w:rPr>
        <w:t>or by rewriting and replacing their entire zoning code.</w:t>
      </w:r>
    </w:p>
    <w:p w14:paraId="7AA9920A" w14:textId="51A612BE" w:rsidR="00B27826" w:rsidRDefault="00B27826" w:rsidP="00E966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29F2E4" w14:textId="30A4E04A" w:rsidR="009749CF" w:rsidRPr="009749CF" w:rsidRDefault="009749CF" w:rsidP="00E9660E">
      <w:pPr>
        <w:jc w:val="both"/>
        <w:rPr>
          <w:rFonts w:asciiTheme="majorHAnsi" w:hAnsiTheme="majorHAnsi" w:cstheme="majorHAnsi"/>
          <w:b/>
          <w:bCs/>
        </w:rPr>
      </w:pPr>
      <w:r w:rsidRPr="009749CF">
        <w:rPr>
          <w:rFonts w:asciiTheme="majorHAnsi" w:hAnsiTheme="majorHAnsi" w:cstheme="majorHAnsi"/>
          <w:b/>
          <w:bCs/>
        </w:rPr>
        <w:t>Resources</w:t>
      </w:r>
    </w:p>
    <w:p w14:paraId="403D3992" w14:textId="1FE6413F" w:rsidR="009749CF" w:rsidRDefault="009749CF" w:rsidP="00E966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61C841" w14:textId="1A4DF36C" w:rsidR="00776E74" w:rsidRPr="00BE2741" w:rsidRDefault="001C3256" w:rsidP="00593AF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Seeding the City </w:t>
      </w:r>
      <w:r w:rsidR="007075EF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075EF">
        <w:rPr>
          <w:rFonts w:asciiTheme="majorHAnsi" w:hAnsiTheme="majorHAnsi" w:cstheme="majorHAnsi"/>
          <w:sz w:val="22"/>
          <w:szCs w:val="22"/>
        </w:rPr>
        <w:t>Land Use Policies to Promote Urban Agriculture</w:t>
      </w:r>
      <w:r w:rsidR="00164132">
        <w:rPr>
          <w:rFonts w:asciiTheme="majorHAnsi" w:hAnsiTheme="majorHAnsi" w:cstheme="majorHAnsi"/>
          <w:sz w:val="22"/>
          <w:szCs w:val="22"/>
        </w:rPr>
        <w:t xml:space="preserve"> - </w:t>
      </w:r>
      <w:hyperlink r:id="rId15" w:history="1">
        <w:r w:rsidR="00164132" w:rsidRPr="00BE2741">
          <w:rPr>
            <w:rStyle w:val="Hyperlink"/>
            <w:rFonts w:asciiTheme="majorHAnsi" w:hAnsiTheme="majorHAnsi" w:cstheme="majorHAnsi"/>
            <w:sz w:val="20"/>
            <w:szCs w:val="20"/>
          </w:rPr>
          <w:t>https://www.changelabsolutions.org/product/seeding-city</w:t>
        </w:r>
      </w:hyperlink>
    </w:p>
    <w:p w14:paraId="3B803433" w14:textId="405F6AAF" w:rsidR="00BE2741" w:rsidRDefault="00BE2741" w:rsidP="00593AFD">
      <w:pPr>
        <w:rPr>
          <w:rFonts w:asciiTheme="majorHAnsi" w:hAnsiTheme="majorHAnsi" w:cstheme="majorHAnsi"/>
          <w:sz w:val="22"/>
          <w:szCs w:val="22"/>
        </w:rPr>
      </w:pPr>
    </w:p>
    <w:p w14:paraId="278C9378" w14:textId="14B25647" w:rsidR="00BE2741" w:rsidRDefault="00E909FC" w:rsidP="00593AF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>Farmland Protection – The Role of Local Government</w:t>
      </w:r>
      <w:r w:rsidR="003E0935">
        <w:rPr>
          <w:rFonts w:asciiTheme="majorHAnsi" w:hAnsiTheme="majorHAnsi" w:cstheme="majorHAnsi"/>
          <w:sz w:val="22"/>
          <w:szCs w:val="22"/>
        </w:rPr>
        <w:t>s in Protecting</w:t>
      </w:r>
      <w:r w:rsidR="0087162A">
        <w:rPr>
          <w:rFonts w:asciiTheme="majorHAnsi" w:hAnsiTheme="majorHAnsi" w:cstheme="majorHAnsi"/>
          <w:sz w:val="22"/>
          <w:szCs w:val="22"/>
        </w:rPr>
        <w:t xml:space="preserve"> Farmland as a Vital</w:t>
      </w:r>
      <w:r w:rsidR="00B5461B">
        <w:rPr>
          <w:rFonts w:asciiTheme="majorHAnsi" w:hAnsiTheme="majorHAnsi" w:cstheme="majorHAnsi"/>
          <w:sz w:val="22"/>
          <w:szCs w:val="22"/>
        </w:rPr>
        <w:t xml:space="preserve"> Local Resource - </w:t>
      </w:r>
      <w:hyperlink r:id="rId16" w:history="1">
        <w:r w:rsidR="002D1125" w:rsidRPr="009F51B7">
          <w:rPr>
            <w:rStyle w:val="Hyperlink"/>
            <w:rFonts w:asciiTheme="majorHAnsi" w:hAnsiTheme="majorHAnsi" w:cstheme="majorHAnsi"/>
            <w:sz w:val="20"/>
            <w:szCs w:val="20"/>
          </w:rPr>
          <w:t>http://growingfoodconnections.org/wp-content/uploads/sites/3/2015/11/GFCPlanningPolicyBrief_FarmlandProtection_2017Sept1.pdf</w:t>
        </w:r>
      </w:hyperlink>
    </w:p>
    <w:p w14:paraId="18A4AF92" w14:textId="00F03C59" w:rsidR="009F51B7" w:rsidRDefault="009F51B7" w:rsidP="00593AFD">
      <w:pPr>
        <w:rPr>
          <w:rFonts w:asciiTheme="majorHAnsi" w:hAnsiTheme="majorHAnsi" w:cstheme="majorHAnsi"/>
          <w:sz w:val="20"/>
          <w:szCs w:val="20"/>
        </w:rPr>
      </w:pPr>
    </w:p>
    <w:p w14:paraId="62335363" w14:textId="5B34C859" w:rsidR="00877D4B" w:rsidRPr="00877D4B" w:rsidRDefault="00877D4B" w:rsidP="00593AFD">
      <w:pPr>
        <w:rPr>
          <w:rFonts w:asciiTheme="majorHAnsi" w:hAnsiTheme="majorHAnsi" w:cstheme="majorHAnsi"/>
          <w:sz w:val="20"/>
          <w:szCs w:val="20"/>
        </w:rPr>
      </w:pPr>
      <w:r w:rsidRPr="00877D4B">
        <w:rPr>
          <w:rFonts w:asciiTheme="majorHAnsi" w:hAnsiTheme="majorHAnsi" w:cstheme="majorHAnsi"/>
          <w:sz w:val="22"/>
          <w:szCs w:val="22"/>
        </w:rPr>
        <w:t>Zoning for Urban Agriculture: A Guide for Updating Your City’s Laws to Support Healthy Food Production and Access</w:t>
      </w:r>
      <w:r w:rsidR="000A4778" w:rsidRPr="000A4778">
        <w:rPr>
          <w:rFonts w:asciiTheme="majorHAnsi" w:hAnsiTheme="majorHAnsi" w:cstheme="majorHAnsi"/>
          <w:sz w:val="22"/>
          <w:szCs w:val="22"/>
        </w:rPr>
        <w:t xml:space="preserve"> - </w:t>
      </w:r>
      <w:hyperlink r:id="rId17" w:history="1">
        <w:r w:rsidR="00773E3D" w:rsidRPr="00D1413C">
          <w:rPr>
            <w:rStyle w:val="Hyperlink"/>
            <w:rFonts w:asciiTheme="majorHAnsi" w:hAnsiTheme="majorHAnsi" w:cstheme="majorHAnsi"/>
            <w:sz w:val="20"/>
            <w:szCs w:val="20"/>
          </w:rPr>
          <w:t>https://healthyfoodpolicyproject.org/key-issues/zoning-for-urban-agriculture</w:t>
        </w:r>
      </w:hyperlink>
    </w:p>
    <w:p w14:paraId="6B954AC5" w14:textId="77777777" w:rsidR="00C77CFF" w:rsidRDefault="00C77CFF" w:rsidP="00593AFD">
      <w:pPr>
        <w:rPr>
          <w:rFonts w:asciiTheme="majorHAnsi" w:hAnsiTheme="majorHAnsi" w:cstheme="majorHAnsi"/>
          <w:sz w:val="22"/>
          <w:szCs w:val="22"/>
        </w:rPr>
      </w:pPr>
    </w:p>
    <w:p w14:paraId="061635CF" w14:textId="17F2A6A9" w:rsidR="00A3656E" w:rsidRPr="00A3656E" w:rsidRDefault="00A3656E" w:rsidP="00593AFD">
      <w:pPr>
        <w:rPr>
          <w:rFonts w:asciiTheme="majorHAnsi" w:hAnsiTheme="majorHAnsi" w:cstheme="majorHAnsi"/>
          <w:sz w:val="22"/>
          <w:szCs w:val="22"/>
        </w:rPr>
      </w:pPr>
      <w:r w:rsidRPr="00A3656E">
        <w:rPr>
          <w:rFonts w:asciiTheme="majorHAnsi" w:hAnsiTheme="majorHAnsi" w:cstheme="majorHAnsi"/>
          <w:sz w:val="22"/>
          <w:szCs w:val="22"/>
        </w:rPr>
        <w:t>Planning for Food Access: A National Scan and Evaluation of Local Comprehensive and Sustainability Plans</w:t>
      </w:r>
      <w:r w:rsidRPr="008177C9">
        <w:rPr>
          <w:rFonts w:asciiTheme="majorHAnsi" w:hAnsiTheme="majorHAnsi" w:cstheme="majorHAnsi"/>
          <w:sz w:val="22"/>
          <w:szCs w:val="22"/>
        </w:rPr>
        <w:t xml:space="preserve"> - </w:t>
      </w:r>
      <w:hyperlink r:id="rId18" w:history="1">
        <w:r w:rsidR="001D22A1" w:rsidRPr="001D22A1">
          <w:rPr>
            <w:rStyle w:val="Hyperlink"/>
            <w:rFonts w:asciiTheme="majorHAnsi" w:hAnsiTheme="majorHAnsi" w:cstheme="majorHAnsi"/>
            <w:sz w:val="22"/>
            <w:szCs w:val="22"/>
          </w:rPr>
          <w:t>https://www.planning.org/research/foodaccess/</w:t>
        </w:r>
      </w:hyperlink>
    </w:p>
    <w:p w14:paraId="67150D1C" w14:textId="77777777" w:rsidR="00472D58" w:rsidRDefault="00472D58" w:rsidP="00593AFD">
      <w:pPr>
        <w:rPr>
          <w:rFonts w:asciiTheme="majorHAnsi" w:hAnsiTheme="majorHAnsi" w:cstheme="majorHAnsi"/>
          <w:sz w:val="22"/>
          <w:szCs w:val="22"/>
        </w:rPr>
      </w:pPr>
    </w:p>
    <w:p w14:paraId="74BC85BA" w14:textId="189E97C7" w:rsidR="00DF5376" w:rsidRPr="006B1FE4" w:rsidRDefault="00180D57" w:rsidP="00593AFD">
      <w:pPr>
        <w:rPr>
          <w:rFonts w:asciiTheme="majorHAnsi" w:hAnsiTheme="majorHAnsi" w:cstheme="majorHAnsi"/>
          <w:sz w:val="20"/>
          <w:szCs w:val="20"/>
        </w:rPr>
      </w:pPr>
      <w:r w:rsidRPr="00180D57">
        <w:rPr>
          <w:rFonts w:asciiTheme="majorHAnsi" w:hAnsiTheme="majorHAnsi" w:cstheme="majorHAnsi"/>
          <w:sz w:val="22"/>
          <w:szCs w:val="22"/>
        </w:rPr>
        <w:t>Growing Urban Agriculture:</w:t>
      </w:r>
      <w:r w:rsidR="00B30381" w:rsidRPr="00921F1F">
        <w:rPr>
          <w:rFonts w:asciiTheme="majorHAnsi" w:hAnsiTheme="majorHAnsi" w:cstheme="majorHAnsi"/>
          <w:sz w:val="22"/>
          <w:szCs w:val="22"/>
        </w:rPr>
        <w:t xml:space="preserve"> </w:t>
      </w:r>
      <w:r w:rsidRPr="00180D57">
        <w:rPr>
          <w:rFonts w:asciiTheme="majorHAnsi" w:hAnsiTheme="majorHAnsi" w:cstheme="majorHAnsi"/>
          <w:sz w:val="22"/>
          <w:szCs w:val="22"/>
        </w:rPr>
        <w:t>Equitable Strategies and Policies</w:t>
      </w:r>
      <w:r w:rsidR="00B30381" w:rsidRPr="00921F1F">
        <w:rPr>
          <w:rFonts w:asciiTheme="majorHAnsi" w:hAnsiTheme="majorHAnsi" w:cstheme="majorHAnsi"/>
          <w:sz w:val="22"/>
          <w:szCs w:val="22"/>
        </w:rPr>
        <w:t xml:space="preserve"> </w:t>
      </w:r>
      <w:r w:rsidRPr="00180D57">
        <w:rPr>
          <w:rFonts w:asciiTheme="majorHAnsi" w:hAnsiTheme="majorHAnsi" w:cstheme="majorHAnsi"/>
          <w:sz w:val="22"/>
          <w:szCs w:val="22"/>
        </w:rPr>
        <w:t>for Improving Access to Healthy Food</w:t>
      </w:r>
      <w:r w:rsidR="00B30381" w:rsidRPr="00921F1F">
        <w:rPr>
          <w:rFonts w:asciiTheme="majorHAnsi" w:hAnsiTheme="majorHAnsi" w:cstheme="majorHAnsi"/>
          <w:sz w:val="22"/>
          <w:szCs w:val="22"/>
        </w:rPr>
        <w:t xml:space="preserve"> </w:t>
      </w:r>
      <w:r w:rsidRPr="00921F1F">
        <w:rPr>
          <w:rFonts w:asciiTheme="majorHAnsi" w:hAnsiTheme="majorHAnsi" w:cstheme="majorHAnsi"/>
          <w:sz w:val="22"/>
          <w:szCs w:val="22"/>
        </w:rPr>
        <w:t>and Revitalizing Communities</w:t>
      </w:r>
      <w:r w:rsidR="00B30381">
        <w:rPr>
          <w:rFonts w:asciiTheme="majorHAnsi" w:hAnsiTheme="majorHAnsi" w:cstheme="majorHAnsi"/>
          <w:sz w:val="22"/>
          <w:szCs w:val="22"/>
        </w:rPr>
        <w:t xml:space="preserve"> - </w:t>
      </w:r>
      <w:hyperlink r:id="rId19" w:history="1">
        <w:r w:rsidR="001D22A1" w:rsidRPr="001D22A1">
          <w:rPr>
            <w:rStyle w:val="Hyperlink"/>
            <w:rFonts w:asciiTheme="majorHAnsi" w:hAnsiTheme="majorHAnsi" w:cstheme="majorHAnsi"/>
            <w:sz w:val="22"/>
            <w:szCs w:val="22"/>
          </w:rPr>
          <w:t>https://www.policylink.org/resources-tools/growing-urban-agriculture</w:t>
        </w:r>
      </w:hyperlink>
    </w:p>
    <w:p w14:paraId="193685FE" w14:textId="77777777" w:rsidR="00DF5376" w:rsidRDefault="00DF5376" w:rsidP="00593AFD">
      <w:pPr>
        <w:rPr>
          <w:rFonts w:asciiTheme="majorHAnsi" w:hAnsiTheme="majorHAnsi" w:cstheme="majorHAnsi"/>
          <w:sz w:val="22"/>
          <w:szCs w:val="22"/>
        </w:rPr>
      </w:pPr>
    </w:p>
    <w:p w14:paraId="34FFFDF5" w14:textId="659D3E3B" w:rsidR="006B1FE4" w:rsidRPr="00921F1F" w:rsidRDefault="00921F1F" w:rsidP="00593AFD">
      <w:pPr>
        <w:rPr>
          <w:rFonts w:asciiTheme="majorHAnsi" w:hAnsiTheme="majorHAnsi" w:cstheme="majorHAnsi"/>
          <w:sz w:val="22"/>
          <w:szCs w:val="22"/>
        </w:rPr>
      </w:pPr>
      <w:r w:rsidRPr="00921F1F">
        <w:rPr>
          <w:rFonts w:asciiTheme="majorHAnsi" w:hAnsiTheme="majorHAnsi" w:cstheme="majorHAnsi"/>
          <w:sz w:val="22"/>
          <w:szCs w:val="22"/>
        </w:rPr>
        <w:t>URBAN FOOD ZONING CODE UPDATE</w:t>
      </w:r>
      <w:r w:rsidR="00DF53B7">
        <w:rPr>
          <w:rFonts w:asciiTheme="majorHAnsi" w:hAnsiTheme="majorHAnsi" w:cstheme="majorHAnsi"/>
          <w:sz w:val="22"/>
          <w:szCs w:val="22"/>
        </w:rPr>
        <w:t xml:space="preserve"> - </w:t>
      </w:r>
      <w:hyperlink r:id="rId20" w:history="1">
        <w:r w:rsidR="00DF53B7" w:rsidRPr="00DF53B7">
          <w:rPr>
            <w:rStyle w:val="Hyperlink"/>
            <w:rFonts w:asciiTheme="majorHAnsi" w:hAnsiTheme="majorHAnsi" w:cstheme="majorHAnsi"/>
            <w:sz w:val="22"/>
            <w:szCs w:val="22"/>
          </w:rPr>
          <w:t>https://www.portland.gov/bps/food-policy-and-zoning-portland</w:t>
        </w:r>
      </w:hyperlink>
    </w:p>
    <w:p w14:paraId="656A7B23" w14:textId="77777777" w:rsidR="00914233" w:rsidRDefault="00914233" w:rsidP="00593AFD">
      <w:pPr>
        <w:rPr>
          <w:rFonts w:asciiTheme="majorHAnsi" w:hAnsiTheme="majorHAnsi" w:cstheme="majorHAnsi"/>
          <w:sz w:val="22"/>
          <w:szCs w:val="22"/>
        </w:rPr>
      </w:pPr>
    </w:p>
    <w:p w14:paraId="5BC663B6" w14:textId="67AA9234" w:rsidR="00755F15" w:rsidRPr="00593AFD" w:rsidRDefault="002754C1" w:rsidP="00593AFD">
      <w:pPr>
        <w:rPr>
          <w:rFonts w:asciiTheme="majorHAnsi" w:hAnsiTheme="majorHAnsi" w:cstheme="majorHAnsi"/>
          <w:sz w:val="20"/>
          <w:szCs w:val="20"/>
        </w:rPr>
      </w:pPr>
      <w:r w:rsidRPr="002754C1">
        <w:rPr>
          <w:rFonts w:asciiTheme="majorHAnsi" w:hAnsiTheme="majorHAnsi" w:cstheme="majorHAnsi"/>
          <w:sz w:val="22"/>
          <w:szCs w:val="22"/>
        </w:rPr>
        <w:t>Agricultural Overlay Zoning</w:t>
      </w:r>
      <w:r w:rsidRPr="003E1861">
        <w:rPr>
          <w:rFonts w:asciiTheme="majorHAnsi" w:hAnsiTheme="majorHAnsi" w:cstheme="majorHAnsi"/>
          <w:sz w:val="22"/>
          <w:szCs w:val="22"/>
        </w:rPr>
        <w:t xml:space="preserve"> - </w:t>
      </w:r>
      <w:hyperlink r:id="rId21" w:history="1">
        <w:r w:rsidR="00A24835" w:rsidRPr="003E1861">
          <w:rPr>
            <w:rStyle w:val="Hyperlink"/>
            <w:rFonts w:asciiTheme="majorHAnsi" w:hAnsiTheme="majorHAnsi" w:cstheme="majorHAnsi"/>
            <w:sz w:val="20"/>
            <w:szCs w:val="20"/>
          </w:rPr>
          <w:t>https://sustainablecitycode.org/brief/agricultural-overlay-zoning/</w:t>
        </w:r>
      </w:hyperlink>
    </w:p>
    <w:sectPr w:rsidR="00755F15" w:rsidRPr="00593AFD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D1E9" w14:textId="77777777" w:rsidR="003D4852" w:rsidRDefault="003D4852" w:rsidP="00593AFD">
      <w:r>
        <w:separator/>
      </w:r>
    </w:p>
  </w:endnote>
  <w:endnote w:type="continuationSeparator" w:id="0">
    <w:p w14:paraId="387E4B00" w14:textId="77777777" w:rsidR="003D4852" w:rsidRDefault="003D4852" w:rsidP="005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4268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CAD13" w14:textId="05E0D2F4" w:rsidR="00593AFD" w:rsidRDefault="00593AFD" w:rsidP="00D172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45063" w14:textId="77777777" w:rsidR="00593AFD" w:rsidRDefault="0059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2564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5D9C88" w14:textId="28D4E4B5" w:rsidR="00593AFD" w:rsidRDefault="00593AFD" w:rsidP="00D172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B7CC0" w14:textId="77777777" w:rsidR="00593AFD" w:rsidRDefault="0059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9F8" w14:textId="77777777" w:rsidR="003D4852" w:rsidRDefault="003D4852" w:rsidP="00593AFD">
      <w:r>
        <w:separator/>
      </w:r>
    </w:p>
  </w:footnote>
  <w:footnote w:type="continuationSeparator" w:id="0">
    <w:p w14:paraId="558F8F3E" w14:textId="77777777" w:rsidR="003D4852" w:rsidRDefault="003D4852" w:rsidP="0059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08D"/>
    <w:multiLevelType w:val="hybridMultilevel"/>
    <w:tmpl w:val="231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7E70"/>
    <w:multiLevelType w:val="hybridMultilevel"/>
    <w:tmpl w:val="E26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1C8B"/>
    <w:multiLevelType w:val="hybridMultilevel"/>
    <w:tmpl w:val="85BA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5F"/>
    <w:rsid w:val="0000112E"/>
    <w:rsid w:val="000077D4"/>
    <w:rsid w:val="00031E28"/>
    <w:rsid w:val="000404C8"/>
    <w:rsid w:val="0004562F"/>
    <w:rsid w:val="0005642F"/>
    <w:rsid w:val="000A4778"/>
    <w:rsid w:val="000C7C97"/>
    <w:rsid w:val="000D3907"/>
    <w:rsid w:val="000D4DC4"/>
    <w:rsid w:val="000F77FE"/>
    <w:rsid w:val="00100655"/>
    <w:rsid w:val="001149B1"/>
    <w:rsid w:val="00146C3C"/>
    <w:rsid w:val="00152668"/>
    <w:rsid w:val="00164132"/>
    <w:rsid w:val="00164876"/>
    <w:rsid w:val="001662D3"/>
    <w:rsid w:val="00170FA3"/>
    <w:rsid w:val="00180D57"/>
    <w:rsid w:val="0018737C"/>
    <w:rsid w:val="001C3256"/>
    <w:rsid w:val="001C7C78"/>
    <w:rsid w:val="001D22A1"/>
    <w:rsid w:val="002150C2"/>
    <w:rsid w:val="0022284B"/>
    <w:rsid w:val="002467FA"/>
    <w:rsid w:val="00261C77"/>
    <w:rsid w:val="00266440"/>
    <w:rsid w:val="002754C1"/>
    <w:rsid w:val="002B0F8C"/>
    <w:rsid w:val="002C7E60"/>
    <w:rsid w:val="002D0702"/>
    <w:rsid w:val="002D1125"/>
    <w:rsid w:val="002E586D"/>
    <w:rsid w:val="002F52CC"/>
    <w:rsid w:val="00312169"/>
    <w:rsid w:val="0031769F"/>
    <w:rsid w:val="00326650"/>
    <w:rsid w:val="00331857"/>
    <w:rsid w:val="00331F7F"/>
    <w:rsid w:val="00357634"/>
    <w:rsid w:val="003A390C"/>
    <w:rsid w:val="003B57E6"/>
    <w:rsid w:val="003D4852"/>
    <w:rsid w:val="003D52A8"/>
    <w:rsid w:val="003E0935"/>
    <w:rsid w:val="003E0F6F"/>
    <w:rsid w:val="003E1861"/>
    <w:rsid w:val="003E4511"/>
    <w:rsid w:val="003E564B"/>
    <w:rsid w:val="003F665A"/>
    <w:rsid w:val="00404202"/>
    <w:rsid w:val="00422B18"/>
    <w:rsid w:val="004252CC"/>
    <w:rsid w:val="00440ED0"/>
    <w:rsid w:val="004438DF"/>
    <w:rsid w:val="00455E23"/>
    <w:rsid w:val="00456466"/>
    <w:rsid w:val="00463F63"/>
    <w:rsid w:val="00472D58"/>
    <w:rsid w:val="0047735C"/>
    <w:rsid w:val="004A784F"/>
    <w:rsid w:val="004B4C37"/>
    <w:rsid w:val="004C231A"/>
    <w:rsid w:val="004C2BE4"/>
    <w:rsid w:val="004C55AA"/>
    <w:rsid w:val="004E4946"/>
    <w:rsid w:val="004E4F25"/>
    <w:rsid w:val="004F1550"/>
    <w:rsid w:val="00506360"/>
    <w:rsid w:val="005172BB"/>
    <w:rsid w:val="00527239"/>
    <w:rsid w:val="005301DF"/>
    <w:rsid w:val="005333F6"/>
    <w:rsid w:val="00542404"/>
    <w:rsid w:val="00545C5F"/>
    <w:rsid w:val="00547815"/>
    <w:rsid w:val="00563295"/>
    <w:rsid w:val="00592CAD"/>
    <w:rsid w:val="00593AFD"/>
    <w:rsid w:val="005A3A1D"/>
    <w:rsid w:val="005A72BE"/>
    <w:rsid w:val="005B3701"/>
    <w:rsid w:val="005B5DC7"/>
    <w:rsid w:val="005D6162"/>
    <w:rsid w:val="005E092D"/>
    <w:rsid w:val="005E2505"/>
    <w:rsid w:val="005E6580"/>
    <w:rsid w:val="005F1D19"/>
    <w:rsid w:val="005F386B"/>
    <w:rsid w:val="005F4109"/>
    <w:rsid w:val="005F6FB7"/>
    <w:rsid w:val="00603DFC"/>
    <w:rsid w:val="00615A1A"/>
    <w:rsid w:val="00640695"/>
    <w:rsid w:val="00640A1C"/>
    <w:rsid w:val="006425D3"/>
    <w:rsid w:val="0065745A"/>
    <w:rsid w:val="00661A51"/>
    <w:rsid w:val="00685CD4"/>
    <w:rsid w:val="0069673B"/>
    <w:rsid w:val="006A1CAD"/>
    <w:rsid w:val="006A2238"/>
    <w:rsid w:val="006B1FE4"/>
    <w:rsid w:val="006B75D8"/>
    <w:rsid w:val="006C2182"/>
    <w:rsid w:val="006D345F"/>
    <w:rsid w:val="006D3B68"/>
    <w:rsid w:val="006D4844"/>
    <w:rsid w:val="006D49E7"/>
    <w:rsid w:val="006F0930"/>
    <w:rsid w:val="006F2F6C"/>
    <w:rsid w:val="006F7F26"/>
    <w:rsid w:val="007071A8"/>
    <w:rsid w:val="007075EF"/>
    <w:rsid w:val="00707C14"/>
    <w:rsid w:val="00717272"/>
    <w:rsid w:val="007358B2"/>
    <w:rsid w:val="00755F15"/>
    <w:rsid w:val="00760E4B"/>
    <w:rsid w:val="0076640C"/>
    <w:rsid w:val="00767C60"/>
    <w:rsid w:val="00773E3D"/>
    <w:rsid w:val="00776E74"/>
    <w:rsid w:val="00780A58"/>
    <w:rsid w:val="007A427F"/>
    <w:rsid w:val="007A445C"/>
    <w:rsid w:val="007C0C2D"/>
    <w:rsid w:val="007C1F20"/>
    <w:rsid w:val="007D1701"/>
    <w:rsid w:val="007D26BD"/>
    <w:rsid w:val="007D5CBF"/>
    <w:rsid w:val="007F1707"/>
    <w:rsid w:val="007F5F9D"/>
    <w:rsid w:val="00803D20"/>
    <w:rsid w:val="00810E41"/>
    <w:rsid w:val="008177C9"/>
    <w:rsid w:val="00821526"/>
    <w:rsid w:val="0082470D"/>
    <w:rsid w:val="00835383"/>
    <w:rsid w:val="0087162A"/>
    <w:rsid w:val="00877D4B"/>
    <w:rsid w:val="00882A5B"/>
    <w:rsid w:val="0089455A"/>
    <w:rsid w:val="008A105C"/>
    <w:rsid w:val="008B2D4E"/>
    <w:rsid w:val="009039FD"/>
    <w:rsid w:val="00912DB4"/>
    <w:rsid w:val="00914233"/>
    <w:rsid w:val="00921F1F"/>
    <w:rsid w:val="009344B8"/>
    <w:rsid w:val="00946E1C"/>
    <w:rsid w:val="00947C00"/>
    <w:rsid w:val="009507E9"/>
    <w:rsid w:val="009749CF"/>
    <w:rsid w:val="00982299"/>
    <w:rsid w:val="00990E8C"/>
    <w:rsid w:val="00991D28"/>
    <w:rsid w:val="009B03BB"/>
    <w:rsid w:val="009B75CD"/>
    <w:rsid w:val="009D08D5"/>
    <w:rsid w:val="009D3CC3"/>
    <w:rsid w:val="009D78D2"/>
    <w:rsid w:val="009E049D"/>
    <w:rsid w:val="009E2E6F"/>
    <w:rsid w:val="009E6DC1"/>
    <w:rsid w:val="009E7828"/>
    <w:rsid w:val="009F51B7"/>
    <w:rsid w:val="00A11B4E"/>
    <w:rsid w:val="00A24835"/>
    <w:rsid w:val="00A3656E"/>
    <w:rsid w:val="00A51AAD"/>
    <w:rsid w:val="00A6275A"/>
    <w:rsid w:val="00A735C7"/>
    <w:rsid w:val="00A744EF"/>
    <w:rsid w:val="00A82709"/>
    <w:rsid w:val="00A86355"/>
    <w:rsid w:val="00A94747"/>
    <w:rsid w:val="00AB0C95"/>
    <w:rsid w:val="00AB6997"/>
    <w:rsid w:val="00AD773C"/>
    <w:rsid w:val="00AF5151"/>
    <w:rsid w:val="00AF723A"/>
    <w:rsid w:val="00B014F8"/>
    <w:rsid w:val="00B06E03"/>
    <w:rsid w:val="00B07907"/>
    <w:rsid w:val="00B124D8"/>
    <w:rsid w:val="00B13445"/>
    <w:rsid w:val="00B220EC"/>
    <w:rsid w:val="00B225EF"/>
    <w:rsid w:val="00B255A5"/>
    <w:rsid w:val="00B26415"/>
    <w:rsid w:val="00B27826"/>
    <w:rsid w:val="00B30381"/>
    <w:rsid w:val="00B5461B"/>
    <w:rsid w:val="00B56A3A"/>
    <w:rsid w:val="00B6070C"/>
    <w:rsid w:val="00B77C12"/>
    <w:rsid w:val="00B84BC9"/>
    <w:rsid w:val="00B92563"/>
    <w:rsid w:val="00BA16AA"/>
    <w:rsid w:val="00BB15C2"/>
    <w:rsid w:val="00BE2741"/>
    <w:rsid w:val="00BE350C"/>
    <w:rsid w:val="00C213EC"/>
    <w:rsid w:val="00C21483"/>
    <w:rsid w:val="00C304C2"/>
    <w:rsid w:val="00C30F56"/>
    <w:rsid w:val="00C43343"/>
    <w:rsid w:val="00C4430D"/>
    <w:rsid w:val="00C51D41"/>
    <w:rsid w:val="00C53182"/>
    <w:rsid w:val="00C66E73"/>
    <w:rsid w:val="00C733BC"/>
    <w:rsid w:val="00C75E34"/>
    <w:rsid w:val="00C77CFF"/>
    <w:rsid w:val="00C94F38"/>
    <w:rsid w:val="00C974F1"/>
    <w:rsid w:val="00CB6299"/>
    <w:rsid w:val="00CC2B01"/>
    <w:rsid w:val="00CD3A9C"/>
    <w:rsid w:val="00CE33A0"/>
    <w:rsid w:val="00CE3ABA"/>
    <w:rsid w:val="00D014E1"/>
    <w:rsid w:val="00D11F85"/>
    <w:rsid w:val="00D1413C"/>
    <w:rsid w:val="00D1453D"/>
    <w:rsid w:val="00D401C3"/>
    <w:rsid w:val="00D44BD1"/>
    <w:rsid w:val="00D646F0"/>
    <w:rsid w:val="00D66D36"/>
    <w:rsid w:val="00D7674E"/>
    <w:rsid w:val="00D76FFA"/>
    <w:rsid w:val="00D8780F"/>
    <w:rsid w:val="00D90752"/>
    <w:rsid w:val="00DA5AF4"/>
    <w:rsid w:val="00DB6E8E"/>
    <w:rsid w:val="00DC5B08"/>
    <w:rsid w:val="00DD14AD"/>
    <w:rsid w:val="00DD4F28"/>
    <w:rsid w:val="00DD515F"/>
    <w:rsid w:val="00DD6670"/>
    <w:rsid w:val="00DE2C23"/>
    <w:rsid w:val="00DE7DF3"/>
    <w:rsid w:val="00DF321E"/>
    <w:rsid w:val="00DF45D3"/>
    <w:rsid w:val="00DF5376"/>
    <w:rsid w:val="00DF53B7"/>
    <w:rsid w:val="00DF7A3F"/>
    <w:rsid w:val="00E023B5"/>
    <w:rsid w:val="00E31E44"/>
    <w:rsid w:val="00E33169"/>
    <w:rsid w:val="00E42627"/>
    <w:rsid w:val="00E44AD9"/>
    <w:rsid w:val="00E558B2"/>
    <w:rsid w:val="00E6528C"/>
    <w:rsid w:val="00E677D1"/>
    <w:rsid w:val="00E67B7E"/>
    <w:rsid w:val="00E72DBC"/>
    <w:rsid w:val="00E80384"/>
    <w:rsid w:val="00E86A1A"/>
    <w:rsid w:val="00E909FC"/>
    <w:rsid w:val="00E9660E"/>
    <w:rsid w:val="00EC6A3E"/>
    <w:rsid w:val="00EE5E78"/>
    <w:rsid w:val="00EF237A"/>
    <w:rsid w:val="00EF6910"/>
    <w:rsid w:val="00F05E2C"/>
    <w:rsid w:val="00F34E4D"/>
    <w:rsid w:val="00F45DF5"/>
    <w:rsid w:val="00F530D5"/>
    <w:rsid w:val="00F64396"/>
    <w:rsid w:val="00F7274D"/>
    <w:rsid w:val="00F75F4B"/>
    <w:rsid w:val="00F85879"/>
    <w:rsid w:val="00F91839"/>
    <w:rsid w:val="00F9314D"/>
    <w:rsid w:val="00F95333"/>
    <w:rsid w:val="00FA0C58"/>
    <w:rsid w:val="00FA11BE"/>
    <w:rsid w:val="00FA1911"/>
    <w:rsid w:val="00FA5997"/>
    <w:rsid w:val="00FC09D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1C0CC"/>
  <w15:docId w15:val="{B82CB6FC-1543-437A-80E3-F0ABBC3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A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A1D"/>
    <w:rPr>
      <w:rFonts w:ascii="Calibri" w:eastAsiaTheme="majorEastAsia" w:hAnsi="Calibri" w:cstheme="majorBidi"/>
      <w:b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A1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F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lanning.org/research/foodacces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stainablecitycode.org/brief/agricultural-overlay-zonin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https://healthyfoodpolicyproject.org/key-issues/zoning-for-urban-agricult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owingfoodconnections.org/wp-content/uploads/sites/3/2015/11/GFCPlanningPolicyBrief_FarmlandProtection_2017Sept1.pdf" TargetMode="External"/><Relationship Id="rId20" Type="http://schemas.openxmlformats.org/officeDocument/2006/relationships/hyperlink" Target="https://www.portland.gov/bps/food-policy-and-zoning-port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angelabsolutions.org/product/seeding-city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policylink.org/resources-tools/growing-urban-agricult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en\AppData\Local\Temp\tf103360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C5741C0E3416B99B30C208C4C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7A86-7263-4CC4-A80C-D47F9B9E2046}"/>
      </w:docPartPr>
      <w:docPartBody>
        <w:p w:rsidR="00A9673A" w:rsidRDefault="0007092E">
          <w:pPr>
            <w:pStyle w:val="C1FC5741C0E3416B99B30C208C4C4E76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E"/>
    <w:rsid w:val="0007092E"/>
    <w:rsid w:val="000E791C"/>
    <w:rsid w:val="00156DCB"/>
    <w:rsid w:val="00776E15"/>
    <w:rsid w:val="00A159C8"/>
    <w:rsid w:val="00A9673A"/>
    <w:rsid w:val="00B2550C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FC5741C0E3416B99B30C208C4C4E76">
    <w:name w:val="C1FC5741C0E3416B99B30C208C4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tf10336027_win32</Template>
  <TotalTime>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Dean Brennan</dc:creator>
  <cp:lastModifiedBy>Dean Brennan</cp:lastModifiedBy>
  <cp:revision>2</cp:revision>
  <cp:lastPrinted>2008-09-26T23:14:00Z</cp:lastPrinted>
  <dcterms:created xsi:type="dcterms:W3CDTF">2021-09-14T17:02:00Z</dcterms:created>
  <dcterms:modified xsi:type="dcterms:W3CDTF">2021-09-14T17:02:00Z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